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0478" w14:textId="77777777" w:rsidR="00B05798" w:rsidRPr="00B05798" w:rsidRDefault="00B05798" w:rsidP="00B05798">
      <w:pPr>
        <w:bidi/>
        <w:jc w:val="center"/>
        <w:rPr>
          <w:rFonts w:ascii="Dubai" w:eastAsia="Times New Roman" w:hAnsi="Dubai" w:cs="Dubai"/>
          <w:b/>
          <w:bCs/>
          <w:color w:val="FF9900"/>
          <w:sz w:val="26"/>
          <w:szCs w:val="26"/>
          <w:rtl/>
        </w:rPr>
      </w:pPr>
      <w:r w:rsidRPr="00B05798">
        <w:rPr>
          <w:rFonts w:ascii="Dubai" w:eastAsia="Times New Roman" w:hAnsi="Dubai" w:cs="Dubai"/>
          <w:b/>
          <w:bCs/>
          <w:color w:val="FF9900"/>
          <w:sz w:val="26"/>
          <w:szCs w:val="26"/>
          <w:rtl/>
        </w:rPr>
        <w:t>المداخلة الأولى – مؤسسة مانديلا للحقوق والديمقراطية</w:t>
      </w:r>
    </w:p>
    <w:p w14:paraId="50B03AB4" w14:textId="77777777" w:rsidR="00B05798" w:rsidRDefault="00B05798" w:rsidP="00B05798">
      <w:pPr>
        <w:bidi/>
        <w:jc w:val="lowKashida"/>
        <w:rPr>
          <w:rFonts w:ascii="Dubai" w:eastAsia="Times New Roman" w:hAnsi="Dubai" w:cs="Dubai"/>
          <w:b/>
          <w:bCs/>
          <w:sz w:val="26"/>
          <w:szCs w:val="26"/>
          <w:rtl/>
        </w:rPr>
      </w:pPr>
      <w:r w:rsidRPr="00B05798">
        <w:rPr>
          <w:rFonts w:ascii="Dubai" w:eastAsia="Times New Roman" w:hAnsi="Dubai" w:cs="Dubai"/>
          <w:b/>
          <w:bCs/>
          <w:sz w:val="26"/>
          <w:szCs w:val="26"/>
          <w:rtl/>
        </w:rPr>
        <w:t>أمام الفريق العامل المعني بالتنفيذ الفعّال لمعاهدة تجارة الأسلحة</w:t>
      </w:r>
    </w:p>
    <w:p w14:paraId="0339FD44" w14:textId="13C8F14C" w:rsidR="00B05798" w:rsidRPr="00B05798" w:rsidRDefault="00B05798" w:rsidP="00B05798">
      <w:pPr>
        <w:bidi/>
        <w:jc w:val="lowKashida"/>
        <w:rPr>
          <w:rFonts w:ascii="Dubai" w:eastAsia="Times New Roman" w:hAnsi="Dubai" w:cs="Dubai"/>
          <w:sz w:val="26"/>
          <w:szCs w:val="26"/>
        </w:rPr>
      </w:pPr>
      <w:r w:rsidRPr="00B05798">
        <w:rPr>
          <w:rFonts w:ascii="Dubai" w:eastAsia="Times New Roman" w:hAnsi="Dubai" w:cs="Dubai"/>
          <w:b/>
          <w:bCs/>
          <w:sz w:val="26"/>
          <w:szCs w:val="26"/>
          <w:rtl/>
        </w:rPr>
        <w:t>الموضوع: دور الصناعة في عمليات نقل الأسلحة إلى مناطق النزاع</w:t>
      </w:r>
    </w:p>
    <w:p w14:paraId="4B352506" w14:textId="77777777" w:rsidR="002304F3" w:rsidRDefault="00B05798" w:rsidP="002304F3">
      <w:pPr>
        <w:bidi/>
        <w:jc w:val="lowKashida"/>
        <w:rPr>
          <w:rFonts w:ascii="Dubai" w:eastAsia="Times New Roman" w:hAnsi="Dubai" w:cs="Dubai"/>
          <w:b/>
          <w:bCs/>
          <w:sz w:val="26"/>
          <w:szCs w:val="26"/>
          <w:rtl/>
        </w:rPr>
      </w:pPr>
      <w:r w:rsidRPr="00B05798">
        <w:rPr>
          <w:rFonts w:ascii="Dubai" w:eastAsia="Times New Roman" w:hAnsi="Dubai" w:cs="Dubai"/>
          <w:b/>
          <w:bCs/>
          <w:sz w:val="26"/>
          <w:szCs w:val="26"/>
          <w:rtl/>
        </w:rPr>
        <w:t>السيد الرئيس،</w:t>
      </w:r>
    </w:p>
    <w:p w14:paraId="62B5B9D8" w14:textId="50DA2F4C" w:rsidR="00B05798" w:rsidRPr="00B05798" w:rsidRDefault="00B05798" w:rsidP="002304F3">
      <w:pPr>
        <w:bidi/>
        <w:jc w:val="lowKashida"/>
        <w:rPr>
          <w:rFonts w:ascii="Dubai" w:eastAsia="Times New Roman" w:hAnsi="Dubai" w:cs="Dubai"/>
          <w:b/>
          <w:bCs/>
          <w:sz w:val="26"/>
          <w:szCs w:val="26"/>
        </w:rPr>
      </w:pPr>
      <w:r w:rsidRPr="00B05798">
        <w:rPr>
          <w:rFonts w:ascii="Dubai" w:eastAsia="Times New Roman" w:hAnsi="Dubai" w:cs="Dubai"/>
          <w:sz w:val="26"/>
          <w:szCs w:val="26"/>
          <w:rtl/>
        </w:rPr>
        <w:t>تلعب شركات تصنيع وتصدير الأسلحة دورًا محوريًا في ضمان أن عمليات نقل الأسلحة تتم بطريقة مسؤولة ومتوافقة مع القانون الدولي، وخاصة في سياق النزاعات المسلحة. فبموجب القانون الدولي الإنساني، يُفترض أن تتخذ هذه الشركات كل التدابير الممكنة لمنع استخدام أسلحتها في ارتكاب انتهاكات خطيرة لحقوق الإنسان أو جرائم حرب</w:t>
      </w:r>
      <w:r w:rsidRPr="00B05798">
        <w:rPr>
          <w:rFonts w:ascii="Dubai" w:eastAsia="Times New Roman" w:hAnsi="Dubai" w:cs="Dubai"/>
          <w:sz w:val="26"/>
          <w:szCs w:val="26"/>
        </w:rPr>
        <w:t>.</w:t>
      </w:r>
    </w:p>
    <w:p w14:paraId="3C7E4285" w14:textId="77777777" w:rsidR="00B05798" w:rsidRDefault="00B05798" w:rsidP="00B05798">
      <w:pPr>
        <w:bidi/>
        <w:jc w:val="lowKashida"/>
        <w:rPr>
          <w:rFonts w:ascii="Dubai" w:eastAsia="Times New Roman" w:hAnsi="Dubai" w:cs="Dubai"/>
          <w:sz w:val="26"/>
          <w:szCs w:val="26"/>
          <w:rtl/>
        </w:rPr>
      </w:pPr>
      <w:r w:rsidRPr="00B05798">
        <w:rPr>
          <w:rFonts w:ascii="Dubai" w:eastAsia="Times New Roman" w:hAnsi="Dubai" w:cs="Dubai"/>
          <w:sz w:val="26"/>
          <w:szCs w:val="26"/>
          <w:rtl/>
        </w:rPr>
        <w:t>لكن للأسف، تُظهر الوقائع أن عددًا من الشركات العاملة في هذا القطاع تواصل تزويد أطراف النزاع، سواء حكومات أو جماعات مسلحة، بأسلحة تُستخدم بشكل مباشر في ارتكاب انتهاكات جسيمة</w:t>
      </w:r>
      <w:r w:rsidRPr="00B05798">
        <w:rPr>
          <w:rFonts w:ascii="Dubai" w:eastAsia="Times New Roman" w:hAnsi="Dubai" w:cs="Dubai"/>
          <w:sz w:val="26"/>
          <w:szCs w:val="26"/>
        </w:rPr>
        <w:t>.</w:t>
      </w:r>
    </w:p>
    <w:p w14:paraId="70A790C0" w14:textId="50CD9B71" w:rsidR="00B05798" w:rsidRPr="00B05798" w:rsidRDefault="00B05798" w:rsidP="00B05798">
      <w:pPr>
        <w:bidi/>
        <w:jc w:val="lowKashida"/>
        <w:rPr>
          <w:rFonts w:ascii="Dubai" w:eastAsia="Times New Roman" w:hAnsi="Dubai" w:cs="Dubai"/>
          <w:sz w:val="26"/>
          <w:szCs w:val="26"/>
        </w:rPr>
      </w:pPr>
      <w:r w:rsidRPr="00B05798">
        <w:rPr>
          <w:rFonts w:ascii="Dubai" w:eastAsia="Times New Roman" w:hAnsi="Dubai" w:cs="Dubai"/>
          <w:sz w:val="26"/>
          <w:szCs w:val="26"/>
          <w:rtl/>
        </w:rPr>
        <w:t xml:space="preserve">فعلى سبيل المثال، في </w:t>
      </w:r>
      <w:r w:rsidRPr="00B05798">
        <w:rPr>
          <w:rFonts w:ascii="Dubai" w:eastAsia="Times New Roman" w:hAnsi="Dubai" w:cs="Dubai"/>
          <w:b/>
          <w:bCs/>
          <w:sz w:val="26"/>
          <w:szCs w:val="26"/>
          <w:rtl/>
        </w:rPr>
        <w:t>ميانمار</w:t>
      </w:r>
      <w:r w:rsidRPr="00B05798">
        <w:rPr>
          <w:rFonts w:ascii="Dubai" w:eastAsia="Times New Roman" w:hAnsi="Dubai" w:cs="Dubai"/>
          <w:sz w:val="26"/>
          <w:szCs w:val="26"/>
          <w:rtl/>
        </w:rPr>
        <w:t xml:space="preserve">، قدمت شركات </w:t>
      </w:r>
      <w:r>
        <w:rPr>
          <w:rFonts w:ascii="Dubai" w:eastAsia="Times New Roman" w:hAnsi="Dubai" w:cs="Dubai" w:hint="cs"/>
          <w:sz w:val="26"/>
          <w:szCs w:val="26"/>
          <w:rtl/>
        </w:rPr>
        <w:t>إسرائيلية وامريكية</w:t>
      </w:r>
      <w:r w:rsidRPr="00B05798">
        <w:rPr>
          <w:rFonts w:ascii="Dubai" w:eastAsia="Times New Roman" w:hAnsi="Dubai" w:cs="Dubai"/>
          <w:sz w:val="26"/>
          <w:szCs w:val="26"/>
          <w:rtl/>
        </w:rPr>
        <w:t xml:space="preserve"> معدات ومواد مكّنت الجيش من إنتاج أسلحة استُخدمت في عمليات قتل ممنهجة بحق المدنيين. وتشير التقارير إلى أن </w:t>
      </w:r>
      <w:r>
        <w:rPr>
          <w:rFonts w:ascii="Dubai" w:eastAsia="Times New Roman" w:hAnsi="Dubai" w:cs="Dubai" w:hint="cs"/>
          <w:sz w:val="26"/>
          <w:szCs w:val="26"/>
          <w:rtl/>
        </w:rPr>
        <w:t>هذه ال</w:t>
      </w:r>
      <w:r w:rsidRPr="00B05798">
        <w:rPr>
          <w:rFonts w:ascii="Dubai" w:eastAsia="Times New Roman" w:hAnsi="Dubai" w:cs="Dubai"/>
          <w:sz w:val="26"/>
          <w:szCs w:val="26"/>
          <w:rtl/>
        </w:rPr>
        <w:t>شركات قامت بتصدير مئات الأطنان من المعدات العسكرية إلى جيش ميانمار، رغم توثيق انتهاكاته المتكررة</w:t>
      </w:r>
      <w:r w:rsidRPr="00B05798">
        <w:rPr>
          <w:rFonts w:ascii="Dubai" w:eastAsia="Times New Roman" w:hAnsi="Dubai" w:cs="Dubai"/>
          <w:sz w:val="26"/>
          <w:szCs w:val="26"/>
        </w:rPr>
        <w:t>.</w:t>
      </w:r>
      <w:r w:rsidRPr="00B05798">
        <w:rPr>
          <w:rFonts w:ascii="Dubai" w:eastAsia="Times New Roman" w:hAnsi="Dubai" w:cs="Dubai"/>
          <w:sz w:val="26"/>
          <w:szCs w:val="26"/>
        </w:rPr>
        <w:br/>
      </w:r>
      <w:r w:rsidRPr="00B05798">
        <w:rPr>
          <w:rFonts w:ascii="Dubai" w:eastAsia="Times New Roman" w:hAnsi="Dubai" w:cs="Dubai"/>
          <w:sz w:val="26"/>
          <w:szCs w:val="26"/>
          <w:rtl/>
        </w:rPr>
        <w:t xml:space="preserve">أما في </w:t>
      </w:r>
      <w:r w:rsidRPr="00B05798">
        <w:rPr>
          <w:rFonts w:ascii="Dubai" w:eastAsia="Times New Roman" w:hAnsi="Dubai" w:cs="Dubai"/>
          <w:b/>
          <w:bCs/>
          <w:sz w:val="26"/>
          <w:szCs w:val="26"/>
          <w:rtl/>
        </w:rPr>
        <w:t>قطاع غزة</w:t>
      </w:r>
      <w:r w:rsidRPr="00B05798">
        <w:rPr>
          <w:rFonts w:ascii="Dubai" w:eastAsia="Times New Roman" w:hAnsi="Dubai" w:cs="Dubai"/>
          <w:sz w:val="26"/>
          <w:szCs w:val="26"/>
          <w:rtl/>
        </w:rPr>
        <w:t xml:space="preserve">، فتستمر شركات </w:t>
      </w:r>
      <w:r>
        <w:rPr>
          <w:rFonts w:ascii="Dubai" w:eastAsia="Times New Roman" w:hAnsi="Dubai" w:cs="Dubai" w:hint="cs"/>
          <w:sz w:val="26"/>
          <w:szCs w:val="26"/>
          <w:rtl/>
        </w:rPr>
        <w:t xml:space="preserve">أمريكية </w:t>
      </w:r>
      <w:r w:rsidRPr="00B05798">
        <w:rPr>
          <w:rFonts w:ascii="Dubai" w:eastAsia="Times New Roman" w:hAnsi="Dubai" w:cs="Dubai"/>
          <w:sz w:val="26"/>
          <w:szCs w:val="26"/>
          <w:rtl/>
        </w:rPr>
        <w:t>كبرى مثل "بوين</w:t>
      </w:r>
      <w:r>
        <w:rPr>
          <w:rFonts w:ascii="Dubai" w:eastAsia="Times New Roman" w:hAnsi="Dubai" w:cs="Dubai" w:hint="cs"/>
          <w:sz w:val="26"/>
          <w:szCs w:val="26"/>
          <w:rtl/>
        </w:rPr>
        <w:t>ج</w:t>
      </w:r>
      <w:r w:rsidRPr="00B05798">
        <w:rPr>
          <w:rFonts w:ascii="Dubai" w:eastAsia="Times New Roman" w:hAnsi="Dubai" w:cs="Dubai"/>
          <w:sz w:val="26"/>
          <w:szCs w:val="26"/>
          <w:rtl/>
        </w:rPr>
        <w:t>" في تزويد إسرائيل بأسلحة تُستخدم في عمليات أسفرت عن مقتل آلاف المدنيين وتدمير البنية التحتية بشكل واسع</w:t>
      </w:r>
      <w:r w:rsidRPr="00B05798">
        <w:rPr>
          <w:rFonts w:ascii="Dubai" w:eastAsia="Times New Roman" w:hAnsi="Dubai" w:cs="Dubai"/>
          <w:sz w:val="26"/>
          <w:szCs w:val="26"/>
        </w:rPr>
        <w:t>.</w:t>
      </w:r>
    </w:p>
    <w:p w14:paraId="43351000" w14:textId="77777777" w:rsidR="00B05798" w:rsidRDefault="00B05798" w:rsidP="00B05798">
      <w:pPr>
        <w:bidi/>
        <w:jc w:val="lowKashida"/>
        <w:rPr>
          <w:rFonts w:ascii="Dubai" w:eastAsia="Times New Roman" w:hAnsi="Dubai" w:cs="Dubai"/>
          <w:sz w:val="26"/>
          <w:szCs w:val="26"/>
          <w:rtl/>
        </w:rPr>
      </w:pPr>
      <w:r w:rsidRPr="00B05798">
        <w:rPr>
          <w:rFonts w:ascii="Dubai" w:eastAsia="Times New Roman" w:hAnsi="Dubai" w:cs="Dubai"/>
          <w:sz w:val="26"/>
          <w:szCs w:val="26"/>
          <w:rtl/>
        </w:rPr>
        <w:t>السيد الرئيس،</w:t>
      </w:r>
    </w:p>
    <w:p w14:paraId="6768FB33" w14:textId="09CF2679" w:rsidR="00B05798" w:rsidRPr="00B05798" w:rsidRDefault="00B05798" w:rsidP="00B05798">
      <w:pPr>
        <w:bidi/>
        <w:jc w:val="lowKashida"/>
        <w:rPr>
          <w:rFonts w:ascii="Dubai" w:eastAsia="Times New Roman" w:hAnsi="Dubai" w:cs="Dubai"/>
          <w:sz w:val="26"/>
          <w:szCs w:val="26"/>
        </w:rPr>
      </w:pPr>
      <w:r>
        <w:rPr>
          <w:rFonts w:ascii="Dubai" w:eastAsia="Times New Roman" w:hAnsi="Dubai" w:cs="Dubai" w:hint="cs"/>
          <w:sz w:val="26"/>
          <w:szCs w:val="26"/>
          <w:rtl/>
        </w:rPr>
        <w:t xml:space="preserve">أن </w:t>
      </w:r>
      <w:r w:rsidRPr="00B05798">
        <w:rPr>
          <w:rFonts w:ascii="Dubai" w:eastAsia="Times New Roman" w:hAnsi="Dubai" w:cs="Dubai"/>
          <w:sz w:val="26"/>
          <w:szCs w:val="26"/>
          <w:rtl/>
        </w:rPr>
        <w:t xml:space="preserve">المبادئ التوجيهية للأمم المتحدة بشأن الأعمال التجارية وحقوق الإنسان، </w:t>
      </w:r>
      <w:r>
        <w:rPr>
          <w:rFonts w:ascii="Dubai" w:eastAsia="Times New Roman" w:hAnsi="Dubai" w:cs="Dubai" w:hint="cs"/>
          <w:sz w:val="26"/>
          <w:szCs w:val="26"/>
          <w:rtl/>
        </w:rPr>
        <w:t>و</w:t>
      </w:r>
      <w:r w:rsidRPr="00B05798">
        <w:rPr>
          <w:rFonts w:ascii="Dubai" w:eastAsia="Times New Roman" w:hAnsi="Dubai" w:cs="Dubai"/>
          <w:sz w:val="26"/>
          <w:szCs w:val="26"/>
          <w:rtl/>
        </w:rPr>
        <w:t>التي أقرها مجلس حقوق الإنسان عام 2011، تنص على أن على جميع الشركات، بما فيها العاملة في قطاع الدفاع، احترام حقوق الإنسان وتقييم مخاطر الانتهاكات المحتملة الناتجة عن استخدام منتجاتها. وهذا يشمل فحص كيفية استخدام الأسلحة التي تصدرها، ومنع بيعها لمن قد يستخدمها في ارتكاب جرائم</w:t>
      </w:r>
      <w:r w:rsidRPr="00B05798">
        <w:rPr>
          <w:rFonts w:ascii="Dubai" w:eastAsia="Times New Roman" w:hAnsi="Dubai" w:cs="Dubai"/>
          <w:sz w:val="26"/>
          <w:szCs w:val="26"/>
        </w:rPr>
        <w:t>.</w:t>
      </w:r>
    </w:p>
    <w:p w14:paraId="6FA3EA09" w14:textId="77777777" w:rsidR="002330FE" w:rsidRDefault="00B05798" w:rsidP="00B05798">
      <w:pPr>
        <w:bidi/>
        <w:jc w:val="lowKashida"/>
        <w:rPr>
          <w:rFonts w:ascii="Dubai" w:eastAsia="Times New Roman" w:hAnsi="Dubai" w:cs="Dubai"/>
          <w:sz w:val="26"/>
          <w:szCs w:val="26"/>
          <w:rtl/>
        </w:rPr>
      </w:pPr>
      <w:r w:rsidRPr="00B05798">
        <w:rPr>
          <w:rFonts w:ascii="Dubai" w:eastAsia="Times New Roman" w:hAnsi="Dubai" w:cs="Dubai"/>
          <w:sz w:val="26"/>
          <w:szCs w:val="26"/>
          <w:rtl/>
        </w:rPr>
        <w:lastRenderedPageBreak/>
        <w:t>لكن الواضح أن عددًا من هذه الشركات لم تمتثل لتلك المبادئ، ولم تقم بتقييم جدي لتأثير نشاطها على حقوق الإنسان. لذلك، يجب على الدول أن تتحمل مسؤوليتها وتضع آليات رقابة فعّالة تضمن التزام الصناعة بهذه المبادئ</w:t>
      </w:r>
      <w:r w:rsidRPr="00B05798">
        <w:rPr>
          <w:rFonts w:ascii="Dubai" w:eastAsia="Times New Roman" w:hAnsi="Dubai" w:cs="Dubai"/>
          <w:sz w:val="26"/>
          <w:szCs w:val="26"/>
        </w:rPr>
        <w:t>.</w:t>
      </w:r>
    </w:p>
    <w:p w14:paraId="4179D1A2" w14:textId="51A406D7" w:rsidR="00B05798" w:rsidRPr="00B05798" w:rsidRDefault="00B05798" w:rsidP="002330FE">
      <w:pPr>
        <w:bidi/>
        <w:jc w:val="lowKashida"/>
        <w:rPr>
          <w:rFonts w:ascii="Dubai" w:eastAsia="Times New Roman" w:hAnsi="Dubai" w:cs="Dubai"/>
          <w:sz w:val="26"/>
          <w:szCs w:val="26"/>
        </w:rPr>
      </w:pPr>
      <w:r w:rsidRPr="00B05798">
        <w:rPr>
          <w:rFonts w:ascii="Dubai" w:eastAsia="Times New Roman" w:hAnsi="Dubai" w:cs="Dubai"/>
          <w:b/>
          <w:bCs/>
          <w:sz w:val="26"/>
          <w:szCs w:val="26"/>
          <w:rtl/>
        </w:rPr>
        <w:t>ويجب أن تشمل هذه الآليات:</w:t>
      </w:r>
      <w:r w:rsidRPr="00B05798">
        <w:rPr>
          <w:rFonts w:ascii="Dubai" w:eastAsia="Times New Roman" w:hAnsi="Dubai" w:cs="Dubai"/>
          <w:sz w:val="26"/>
          <w:szCs w:val="26"/>
          <w:rtl/>
        </w:rPr>
        <w:t xml:space="preserve"> تقييم مخاطر التحويل، </w:t>
      </w:r>
      <w:r w:rsidR="002330FE">
        <w:rPr>
          <w:rFonts w:ascii="Dubai" w:eastAsia="Times New Roman" w:hAnsi="Dubai" w:cs="Dubai" w:hint="cs"/>
          <w:sz w:val="26"/>
          <w:szCs w:val="26"/>
          <w:rtl/>
        </w:rPr>
        <w:t>و</w:t>
      </w:r>
      <w:r w:rsidRPr="00B05798">
        <w:rPr>
          <w:rFonts w:ascii="Dubai" w:eastAsia="Times New Roman" w:hAnsi="Dubai" w:cs="Dubai"/>
          <w:sz w:val="26"/>
          <w:szCs w:val="26"/>
          <w:rtl/>
        </w:rPr>
        <w:t>مراجعة الاستخدامات النهائية للأسلحة، ومنع التوريد إلى جهات ثبت تورطها في ارتكاب انتهاكات</w:t>
      </w:r>
      <w:r w:rsidRPr="00B05798">
        <w:rPr>
          <w:rFonts w:ascii="Dubai" w:eastAsia="Times New Roman" w:hAnsi="Dubai" w:cs="Dubai"/>
          <w:sz w:val="26"/>
          <w:szCs w:val="26"/>
        </w:rPr>
        <w:t>.</w:t>
      </w:r>
    </w:p>
    <w:p w14:paraId="796C0239" w14:textId="1CA75753" w:rsidR="00B05798" w:rsidRPr="00B05798" w:rsidRDefault="002330FE" w:rsidP="00B05798">
      <w:pPr>
        <w:bidi/>
        <w:jc w:val="lowKashida"/>
        <w:rPr>
          <w:rFonts w:ascii="Dubai" w:eastAsia="Times New Roman" w:hAnsi="Dubai" w:cs="Dubai"/>
          <w:sz w:val="26"/>
          <w:szCs w:val="26"/>
        </w:rPr>
      </w:pPr>
      <w:r>
        <w:rPr>
          <w:rFonts w:ascii="Dubai" w:eastAsia="Times New Roman" w:hAnsi="Dubai" w:cs="Dubai" w:hint="cs"/>
          <w:sz w:val="26"/>
          <w:szCs w:val="26"/>
          <w:rtl/>
        </w:rPr>
        <w:t>ف</w:t>
      </w:r>
      <w:r w:rsidR="00B05798" w:rsidRPr="00B05798">
        <w:rPr>
          <w:rFonts w:ascii="Dubai" w:eastAsia="Times New Roman" w:hAnsi="Dubai" w:cs="Dubai"/>
          <w:sz w:val="26"/>
          <w:szCs w:val="26"/>
          <w:rtl/>
        </w:rPr>
        <w:t>إن تحقيق تجارة أسلحة مسؤولة لا يقتصر على الحكومات فقط، بل يتطلب مساءلة القطاع الخاص أيضًا، وتفعيل أدوات القانون الدولي لضمان حماية المدنيين وحقوق الإنسان</w:t>
      </w:r>
      <w:r w:rsidR="00B05798" w:rsidRPr="00B05798">
        <w:rPr>
          <w:rFonts w:ascii="Dubai" w:eastAsia="Times New Roman" w:hAnsi="Dubai" w:cs="Dubai"/>
          <w:sz w:val="26"/>
          <w:szCs w:val="26"/>
        </w:rPr>
        <w:t>.</w:t>
      </w:r>
    </w:p>
    <w:p w14:paraId="70ED784B" w14:textId="4CF95A8D" w:rsidR="00F33EEF" w:rsidRPr="002F2DD0" w:rsidRDefault="00B05798" w:rsidP="002F2DD0">
      <w:pPr>
        <w:bidi/>
        <w:jc w:val="lowKashida"/>
        <w:rPr>
          <w:rFonts w:ascii="Dubai" w:eastAsia="Times New Roman" w:hAnsi="Dubai" w:cs="Dubai"/>
          <w:b/>
          <w:bCs/>
          <w:sz w:val="26"/>
          <w:szCs w:val="26"/>
        </w:rPr>
      </w:pPr>
      <w:r w:rsidRPr="00B05798">
        <w:rPr>
          <w:rFonts w:ascii="Dubai" w:eastAsia="Times New Roman" w:hAnsi="Dubai" w:cs="Dubai"/>
          <w:b/>
          <w:bCs/>
          <w:sz w:val="26"/>
          <w:szCs w:val="26"/>
          <w:rtl/>
        </w:rPr>
        <w:t>شكرًا لكم</w:t>
      </w:r>
      <w:r w:rsidRPr="00B05798">
        <w:rPr>
          <w:rFonts w:ascii="Dubai" w:eastAsia="Times New Roman" w:hAnsi="Dubai" w:cs="Dubai"/>
          <w:b/>
          <w:bCs/>
          <w:sz w:val="26"/>
          <w:szCs w:val="26"/>
        </w:rPr>
        <w:t>.</w:t>
      </w:r>
    </w:p>
    <w:sectPr w:rsidR="00F33EEF" w:rsidRPr="002F2D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3CD4" w14:textId="77777777" w:rsidR="00913BBB" w:rsidRDefault="00913BBB" w:rsidP="00DF2277">
      <w:pPr>
        <w:spacing w:before="0" w:after="0"/>
      </w:pPr>
      <w:r>
        <w:separator/>
      </w:r>
    </w:p>
  </w:endnote>
  <w:endnote w:type="continuationSeparator" w:id="0">
    <w:p w14:paraId="67ADBF9C" w14:textId="77777777" w:rsidR="00913BBB" w:rsidRDefault="00913BBB"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65CE" w14:textId="77777777" w:rsidR="00913BBB" w:rsidRDefault="00913BBB" w:rsidP="00DF2277">
      <w:pPr>
        <w:spacing w:before="0" w:after="0"/>
      </w:pPr>
      <w:r>
        <w:separator/>
      </w:r>
    </w:p>
  </w:footnote>
  <w:footnote w:type="continuationSeparator" w:id="0">
    <w:p w14:paraId="695B06B2" w14:textId="77777777" w:rsidR="00913BBB" w:rsidRDefault="00913BBB"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E21C" w14:textId="12BA021D" w:rsidR="00B05798" w:rsidRDefault="00B05798">
    <w:pPr>
      <w:pStyle w:val="Header"/>
    </w:pPr>
    <w:r>
      <w:rPr>
        <w:noProof/>
      </w:rPr>
      <w:drawing>
        <wp:inline distT="0" distB="0" distL="0" distR="0" wp14:anchorId="04EFCF88" wp14:editId="57F865D4">
          <wp:extent cx="1616817" cy="1143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23013" cy="1147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2"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2815D0"/>
    <w:multiLevelType w:val="multilevel"/>
    <w:tmpl w:val="0652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551327">
    <w:abstractNumId w:val="0"/>
  </w:num>
  <w:num w:numId="2" w16cid:durableId="2021813945">
    <w:abstractNumId w:val="2"/>
  </w:num>
  <w:num w:numId="3" w16cid:durableId="1506096563">
    <w:abstractNumId w:val="1"/>
  </w:num>
  <w:num w:numId="4" w16cid:durableId="21562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06538"/>
    <w:rsid w:val="0002260A"/>
    <w:rsid w:val="000358C2"/>
    <w:rsid w:val="000716ED"/>
    <w:rsid w:val="000B0BDF"/>
    <w:rsid w:val="000B5CC6"/>
    <w:rsid w:val="000E02F9"/>
    <w:rsid w:val="000E5EF8"/>
    <w:rsid w:val="000F789A"/>
    <w:rsid w:val="00100326"/>
    <w:rsid w:val="00103273"/>
    <w:rsid w:val="00121569"/>
    <w:rsid w:val="0016713B"/>
    <w:rsid w:val="00185812"/>
    <w:rsid w:val="001A1D19"/>
    <w:rsid w:val="001A5612"/>
    <w:rsid w:val="001B6008"/>
    <w:rsid w:val="001F0BE9"/>
    <w:rsid w:val="0021491A"/>
    <w:rsid w:val="00214B98"/>
    <w:rsid w:val="002304F3"/>
    <w:rsid w:val="002330FE"/>
    <w:rsid w:val="002462CE"/>
    <w:rsid w:val="002569EC"/>
    <w:rsid w:val="00276D48"/>
    <w:rsid w:val="002B100F"/>
    <w:rsid w:val="002F2DD0"/>
    <w:rsid w:val="00316EF5"/>
    <w:rsid w:val="00325857"/>
    <w:rsid w:val="00344CF2"/>
    <w:rsid w:val="00361FA9"/>
    <w:rsid w:val="0038764B"/>
    <w:rsid w:val="0039528E"/>
    <w:rsid w:val="003A3AFD"/>
    <w:rsid w:val="003B771F"/>
    <w:rsid w:val="00430EBC"/>
    <w:rsid w:val="004312FA"/>
    <w:rsid w:val="00452C06"/>
    <w:rsid w:val="004603D9"/>
    <w:rsid w:val="004667C0"/>
    <w:rsid w:val="004B4006"/>
    <w:rsid w:val="004F5686"/>
    <w:rsid w:val="00544C20"/>
    <w:rsid w:val="00592658"/>
    <w:rsid w:val="005C568E"/>
    <w:rsid w:val="005D53C4"/>
    <w:rsid w:val="005E7B8B"/>
    <w:rsid w:val="005F281C"/>
    <w:rsid w:val="00615403"/>
    <w:rsid w:val="006412DE"/>
    <w:rsid w:val="00663808"/>
    <w:rsid w:val="00755A7D"/>
    <w:rsid w:val="007979F5"/>
    <w:rsid w:val="007C1DE3"/>
    <w:rsid w:val="00801EFE"/>
    <w:rsid w:val="00817544"/>
    <w:rsid w:val="00823F8E"/>
    <w:rsid w:val="00841DC6"/>
    <w:rsid w:val="00877DC4"/>
    <w:rsid w:val="008957E1"/>
    <w:rsid w:val="008A3FA7"/>
    <w:rsid w:val="008C4998"/>
    <w:rsid w:val="008E175D"/>
    <w:rsid w:val="008F640F"/>
    <w:rsid w:val="008F74CB"/>
    <w:rsid w:val="00900E2D"/>
    <w:rsid w:val="009064D8"/>
    <w:rsid w:val="00913BBB"/>
    <w:rsid w:val="009152BE"/>
    <w:rsid w:val="00934F75"/>
    <w:rsid w:val="0094308D"/>
    <w:rsid w:val="00950B0D"/>
    <w:rsid w:val="009911E7"/>
    <w:rsid w:val="00A0701F"/>
    <w:rsid w:val="00A12B74"/>
    <w:rsid w:val="00A53993"/>
    <w:rsid w:val="00A55994"/>
    <w:rsid w:val="00A91728"/>
    <w:rsid w:val="00A954CA"/>
    <w:rsid w:val="00AB4536"/>
    <w:rsid w:val="00AC2A29"/>
    <w:rsid w:val="00AD19C8"/>
    <w:rsid w:val="00AF32B2"/>
    <w:rsid w:val="00B05798"/>
    <w:rsid w:val="00B21E4B"/>
    <w:rsid w:val="00B3086D"/>
    <w:rsid w:val="00B4111E"/>
    <w:rsid w:val="00B52855"/>
    <w:rsid w:val="00B94F32"/>
    <w:rsid w:val="00BA244B"/>
    <w:rsid w:val="00C37AA8"/>
    <w:rsid w:val="00D01A3D"/>
    <w:rsid w:val="00D26CD8"/>
    <w:rsid w:val="00D53B86"/>
    <w:rsid w:val="00D63F09"/>
    <w:rsid w:val="00D673C1"/>
    <w:rsid w:val="00D8029C"/>
    <w:rsid w:val="00DC03BE"/>
    <w:rsid w:val="00DE137A"/>
    <w:rsid w:val="00DE4C50"/>
    <w:rsid w:val="00DF2277"/>
    <w:rsid w:val="00DF6750"/>
    <w:rsid w:val="00E00AC9"/>
    <w:rsid w:val="00E3332F"/>
    <w:rsid w:val="00E452CB"/>
    <w:rsid w:val="00ED5F2D"/>
    <w:rsid w:val="00EE1B78"/>
    <w:rsid w:val="00EE62DD"/>
    <w:rsid w:val="00F05A63"/>
    <w:rsid w:val="00F0713A"/>
    <w:rsid w:val="00F27508"/>
    <w:rsid w:val="00F33EEF"/>
    <w:rsid w:val="00F56F47"/>
    <w:rsid w:val="00FA37D6"/>
    <w:rsid w:val="00FA46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lang/>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B05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71261038">
      <w:bodyDiv w:val="1"/>
      <w:marLeft w:val="0"/>
      <w:marRight w:val="0"/>
      <w:marTop w:val="0"/>
      <w:marBottom w:val="0"/>
      <w:divBdr>
        <w:top w:val="none" w:sz="0" w:space="0" w:color="auto"/>
        <w:left w:val="none" w:sz="0" w:space="0" w:color="auto"/>
        <w:bottom w:val="none" w:sz="0" w:space="0" w:color="auto"/>
        <w:right w:val="none" w:sz="0" w:space="0" w:color="auto"/>
      </w:divBdr>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411581777">
      <w:bodyDiv w:val="1"/>
      <w:marLeft w:val="0"/>
      <w:marRight w:val="0"/>
      <w:marTop w:val="0"/>
      <w:marBottom w:val="0"/>
      <w:divBdr>
        <w:top w:val="none" w:sz="0" w:space="0" w:color="auto"/>
        <w:left w:val="none" w:sz="0" w:space="0" w:color="auto"/>
        <w:bottom w:val="none" w:sz="0" w:space="0" w:color="auto"/>
        <w:right w:val="none" w:sz="0" w:space="0" w:color="auto"/>
      </w:divBdr>
    </w:div>
    <w:div w:id="456725785">
      <w:bodyDiv w:val="1"/>
      <w:marLeft w:val="0"/>
      <w:marRight w:val="0"/>
      <w:marTop w:val="0"/>
      <w:marBottom w:val="0"/>
      <w:divBdr>
        <w:top w:val="none" w:sz="0" w:space="0" w:color="auto"/>
        <w:left w:val="none" w:sz="0" w:space="0" w:color="auto"/>
        <w:bottom w:val="none" w:sz="0" w:space="0" w:color="auto"/>
        <w:right w:val="none" w:sz="0" w:space="0" w:color="auto"/>
      </w:divBdr>
    </w:div>
    <w:div w:id="49264203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272326194">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48447582">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82216317">
      <w:bodyDiv w:val="1"/>
      <w:marLeft w:val="0"/>
      <w:marRight w:val="0"/>
      <w:marTop w:val="0"/>
      <w:marBottom w:val="0"/>
      <w:divBdr>
        <w:top w:val="none" w:sz="0" w:space="0" w:color="auto"/>
        <w:left w:val="none" w:sz="0" w:space="0" w:color="auto"/>
        <w:bottom w:val="none" w:sz="0" w:space="0" w:color="auto"/>
        <w:right w:val="none" w:sz="0" w:space="0" w:color="auto"/>
      </w:divBdr>
    </w:div>
    <w:div w:id="1875576222">
      <w:bodyDiv w:val="1"/>
      <w:marLeft w:val="0"/>
      <w:marRight w:val="0"/>
      <w:marTop w:val="0"/>
      <w:marBottom w:val="0"/>
      <w:divBdr>
        <w:top w:val="none" w:sz="0" w:space="0" w:color="auto"/>
        <w:left w:val="none" w:sz="0" w:space="0" w:color="auto"/>
        <w:bottom w:val="none" w:sz="0" w:space="0" w:color="auto"/>
        <w:right w:val="none" w:sz="0" w:space="0" w:color="auto"/>
      </w:divBdr>
    </w:div>
    <w:div w:id="211485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Win-11</cp:lastModifiedBy>
  <cp:revision>84</cp:revision>
  <dcterms:created xsi:type="dcterms:W3CDTF">2024-01-31T22:23:00Z</dcterms:created>
  <dcterms:modified xsi:type="dcterms:W3CDTF">2025-05-14T12:51:00Z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