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B701" w14:textId="77777777" w:rsidR="00E47512" w:rsidRPr="00E47512" w:rsidRDefault="00E47512" w:rsidP="00E47512">
      <w:pPr>
        <w:jc w:val="center"/>
        <w:rPr>
          <w:b/>
          <w:bCs/>
          <w:lang w:val="en-GB"/>
        </w:rPr>
      </w:pPr>
      <w:r w:rsidRPr="00E47512">
        <w:rPr>
          <w:b/>
          <w:bCs/>
          <w:lang w:val="en-GB"/>
        </w:rPr>
        <w:t>ATT Working Group Meetings</w:t>
      </w:r>
    </w:p>
    <w:p w14:paraId="724121E1" w14:textId="242E3F10" w:rsidR="00E47512" w:rsidRPr="00E47512" w:rsidRDefault="00E47512" w:rsidP="00E47512">
      <w:pPr>
        <w:jc w:val="center"/>
        <w:rPr>
          <w:b/>
          <w:bCs/>
          <w:lang w:val="en-GB"/>
        </w:rPr>
      </w:pPr>
      <w:r w:rsidRPr="00E47512">
        <w:rPr>
          <w:b/>
          <w:bCs/>
          <w:lang w:val="en-GB"/>
        </w:rPr>
        <w:t>25-27 February 2025, Geneva</w:t>
      </w:r>
    </w:p>
    <w:p w14:paraId="385CC729" w14:textId="25E754EE" w:rsidR="00E47512" w:rsidRPr="00E47512" w:rsidRDefault="00E47512" w:rsidP="00E47512">
      <w:pPr>
        <w:jc w:val="center"/>
        <w:rPr>
          <w:b/>
          <w:bCs/>
          <w:lang w:val="en-GB"/>
        </w:rPr>
      </w:pPr>
      <w:r w:rsidRPr="00E47512">
        <w:rPr>
          <w:b/>
          <w:bCs/>
          <w:lang w:val="en-GB"/>
        </w:rPr>
        <w:t>Topic 2: Scope / national control list – Australia’s intervention</w:t>
      </w:r>
    </w:p>
    <w:p w14:paraId="54B2F125" w14:textId="0F416925" w:rsidR="004E20DA" w:rsidRPr="007A4E61" w:rsidRDefault="004E20DA" w:rsidP="004E20DA">
      <w:pPr>
        <w:rPr>
          <w:sz w:val="28"/>
          <w:szCs w:val="28"/>
        </w:rPr>
      </w:pPr>
      <w:r>
        <w:rPr>
          <w:sz w:val="28"/>
          <w:szCs w:val="28"/>
        </w:rPr>
        <w:t>Facilitator</w:t>
      </w:r>
      <w:r w:rsidRPr="007A4E61">
        <w:rPr>
          <w:sz w:val="28"/>
          <w:szCs w:val="28"/>
        </w:rPr>
        <w:t xml:space="preserve">, </w:t>
      </w:r>
    </w:p>
    <w:p w14:paraId="39F20779" w14:textId="7D4AA679" w:rsidR="004E20DA" w:rsidRPr="007A4E61" w:rsidRDefault="00851A47" w:rsidP="00E47512">
      <w:pPr>
        <w:rPr>
          <w:sz w:val="28"/>
          <w:szCs w:val="28"/>
        </w:rPr>
      </w:pPr>
      <w:r>
        <w:rPr>
          <w:sz w:val="28"/>
          <w:szCs w:val="28"/>
        </w:rPr>
        <w:t>Firstly</w:t>
      </w:r>
      <w:r w:rsidR="002A5F7E">
        <w:rPr>
          <w:sz w:val="28"/>
          <w:szCs w:val="28"/>
        </w:rPr>
        <w:t>,</w:t>
      </w:r>
      <w:r>
        <w:rPr>
          <w:sz w:val="28"/>
          <w:szCs w:val="28"/>
        </w:rPr>
        <w:t xml:space="preserve"> let me thank you</w:t>
      </w:r>
      <w:r w:rsidR="002A5F7E">
        <w:rPr>
          <w:sz w:val="28"/>
          <w:szCs w:val="28"/>
        </w:rPr>
        <w:t xml:space="preserve"> </w:t>
      </w:r>
      <w:r>
        <w:rPr>
          <w:sz w:val="28"/>
          <w:szCs w:val="28"/>
        </w:rPr>
        <w:t xml:space="preserve">for taking on this important work. </w:t>
      </w:r>
    </w:p>
    <w:p w14:paraId="28389FD4" w14:textId="09D48883" w:rsidR="002A5F7E" w:rsidRDefault="002A5F7E" w:rsidP="00E47512">
      <w:pPr>
        <w:rPr>
          <w:sz w:val="28"/>
          <w:szCs w:val="28"/>
        </w:rPr>
      </w:pPr>
      <w:r>
        <w:rPr>
          <w:sz w:val="28"/>
          <w:szCs w:val="28"/>
        </w:rPr>
        <w:t>As this is the first time we are intervening allow me to warmly welcome Carine Solmirano to her role. Thank you to you and your team for the excellent preparation for these meetings.</w:t>
      </w:r>
    </w:p>
    <w:p w14:paraId="7BE27ED4" w14:textId="6FBE384B" w:rsidR="00E47512" w:rsidRPr="007A4E61" w:rsidRDefault="00242B25" w:rsidP="00E47512">
      <w:pPr>
        <w:rPr>
          <w:sz w:val="28"/>
          <w:szCs w:val="28"/>
        </w:rPr>
      </w:pPr>
      <w:r w:rsidRPr="007A4E61">
        <w:rPr>
          <w:sz w:val="28"/>
          <w:szCs w:val="28"/>
        </w:rPr>
        <w:t xml:space="preserve">Thank you </w:t>
      </w:r>
      <w:r w:rsidR="00851A47">
        <w:rPr>
          <w:sz w:val="28"/>
          <w:szCs w:val="28"/>
        </w:rPr>
        <w:t xml:space="preserve">affording us </w:t>
      </w:r>
      <w:r w:rsidRPr="007A4E61">
        <w:rPr>
          <w:sz w:val="28"/>
          <w:szCs w:val="28"/>
        </w:rPr>
        <w:t xml:space="preserve">the opportunity to </w:t>
      </w:r>
      <w:r w:rsidR="00851A47">
        <w:rPr>
          <w:sz w:val="28"/>
          <w:szCs w:val="28"/>
        </w:rPr>
        <w:t xml:space="preserve">share </w:t>
      </w:r>
      <w:r w:rsidRPr="007A4E61">
        <w:rPr>
          <w:sz w:val="28"/>
          <w:szCs w:val="28"/>
        </w:rPr>
        <w:t xml:space="preserve">information </w:t>
      </w:r>
      <w:r w:rsidR="00851A47">
        <w:rPr>
          <w:sz w:val="28"/>
          <w:szCs w:val="28"/>
        </w:rPr>
        <w:t xml:space="preserve">regarding </w:t>
      </w:r>
      <w:r w:rsidR="00CD4D4D" w:rsidRPr="007A4E61">
        <w:rPr>
          <w:sz w:val="28"/>
          <w:szCs w:val="28"/>
        </w:rPr>
        <w:t>Australia’s national control list.</w:t>
      </w:r>
      <w:r w:rsidR="00E47512" w:rsidRPr="007A4E61">
        <w:rPr>
          <w:sz w:val="28"/>
          <w:szCs w:val="28"/>
        </w:rPr>
        <w:t xml:space="preserve"> </w:t>
      </w:r>
    </w:p>
    <w:p w14:paraId="0845C212" w14:textId="00306894" w:rsidR="0001738B" w:rsidRDefault="00731766" w:rsidP="00CB0C63">
      <w:pPr>
        <w:rPr>
          <w:sz w:val="28"/>
          <w:szCs w:val="28"/>
        </w:rPr>
      </w:pPr>
      <w:r w:rsidRPr="007A4E61">
        <w:rPr>
          <w:sz w:val="28"/>
          <w:szCs w:val="28"/>
        </w:rPr>
        <w:t>The </w:t>
      </w:r>
      <w:r w:rsidRPr="007A4E61">
        <w:rPr>
          <w:i/>
          <w:iCs/>
          <w:sz w:val="28"/>
          <w:szCs w:val="28"/>
        </w:rPr>
        <w:t>Defence and Strategic Goods List</w:t>
      </w:r>
      <w:r w:rsidR="00F34AAC">
        <w:rPr>
          <w:i/>
          <w:iCs/>
          <w:sz w:val="28"/>
          <w:szCs w:val="28"/>
        </w:rPr>
        <w:t xml:space="preserve">, </w:t>
      </w:r>
      <w:r w:rsidR="00CB0C63">
        <w:rPr>
          <w:sz w:val="28"/>
          <w:szCs w:val="28"/>
        </w:rPr>
        <w:t>referred to as the</w:t>
      </w:r>
      <w:r w:rsidRPr="007A4E61">
        <w:rPr>
          <w:sz w:val="28"/>
          <w:szCs w:val="28"/>
        </w:rPr>
        <w:t> </w:t>
      </w:r>
      <w:r w:rsidR="00CB0C63">
        <w:rPr>
          <w:sz w:val="28"/>
          <w:szCs w:val="28"/>
        </w:rPr>
        <w:t>“</w:t>
      </w:r>
      <w:r w:rsidRPr="007A4E61">
        <w:rPr>
          <w:sz w:val="28"/>
          <w:szCs w:val="28"/>
        </w:rPr>
        <w:t>DSGL</w:t>
      </w:r>
      <w:r w:rsidR="00CB0C63">
        <w:rPr>
          <w:sz w:val="28"/>
          <w:szCs w:val="28"/>
        </w:rPr>
        <w:t>”,</w:t>
      </w:r>
      <w:r w:rsidR="007016EB">
        <w:rPr>
          <w:sz w:val="28"/>
          <w:szCs w:val="28"/>
        </w:rPr>
        <w:t xml:space="preserve"> </w:t>
      </w:r>
      <w:r w:rsidRPr="007A4E61">
        <w:rPr>
          <w:sz w:val="28"/>
          <w:szCs w:val="28"/>
        </w:rPr>
        <w:t xml:space="preserve">is the centrepiece of Australia’s export control system. </w:t>
      </w:r>
    </w:p>
    <w:p w14:paraId="760068AC" w14:textId="498204EF" w:rsidR="00511C34" w:rsidRDefault="00F34AAC" w:rsidP="00CB0C63">
      <w:pPr>
        <w:rPr>
          <w:sz w:val="28"/>
          <w:szCs w:val="28"/>
        </w:rPr>
      </w:pPr>
      <w:r w:rsidRPr="009D69C1">
        <w:rPr>
          <w:sz w:val="28"/>
          <w:szCs w:val="28"/>
        </w:rPr>
        <w:t xml:space="preserve">The DSGL is a legislative instrument specifying goods, technology, and software regulated under Australian export control laws. </w:t>
      </w:r>
    </w:p>
    <w:p w14:paraId="77102D25" w14:textId="7D4DFD96" w:rsidR="00511C34" w:rsidRDefault="0001738B" w:rsidP="00CB0C63">
      <w:pPr>
        <w:rPr>
          <w:sz w:val="28"/>
          <w:szCs w:val="28"/>
        </w:rPr>
      </w:pPr>
      <w:r>
        <w:rPr>
          <w:sz w:val="28"/>
          <w:szCs w:val="28"/>
        </w:rPr>
        <w:t xml:space="preserve">It </w:t>
      </w:r>
      <w:r w:rsidR="00D559CE">
        <w:rPr>
          <w:sz w:val="28"/>
          <w:szCs w:val="28"/>
        </w:rPr>
        <w:t>takes the form of</w:t>
      </w:r>
      <w:r>
        <w:rPr>
          <w:sz w:val="28"/>
          <w:szCs w:val="28"/>
        </w:rPr>
        <w:t xml:space="preserve"> a regulation</w:t>
      </w:r>
      <w:r w:rsidR="00D559CE">
        <w:rPr>
          <w:sz w:val="28"/>
          <w:szCs w:val="28"/>
        </w:rPr>
        <w:t xml:space="preserve"> under Australian law</w:t>
      </w:r>
      <w:r>
        <w:rPr>
          <w:sz w:val="28"/>
          <w:szCs w:val="28"/>
        </w:rPr>
        <w:t>, issued by the Minister for Defence, under our Customs Act.</w:t>
      </w:r>
      <w:r w:rsidR="00056062">
        <w:rPr>
          <w:sz w:val="28"/>
          <w:szCs w:val="28"/>
        </w:rPr>
        <w:t xml:space="preserve">  </w:t>
      </w:r>
    </w:p>
    <w:p w14:paraId="6B120A37" w14:textId="5C28B215" w:rsidR="00731766" w:rsidRDefault="00511C34" w:rsidP="00CB0C63">
      <w:pPr>
        <w:rPr>
          <w:sz w:val="28"/>
          <w:szCs w:val="28"/>
        </w:rPr>
      </w:pPr>
      <w:r>
        <w:rPr>
          <w:sz w:val="28"/>
          <w:szCs w:val="28"/>
        </w:rPr>
        <w:t xml:space="preserve">The DGSL </w:t>
      </w:r>
      <w:r w:rsidR="00E7602F">
        <w:rPr>
          <w:sz w:val="28"/>
          <w:szCs w:val="28"/>
        </w:rPr>
        <w:t xml:space="preserve">is managed by </w:t>
      </w:r>
      <w:r w:rsidR="00E7602F" w:rsidRPr="007A4E61">
        <w:rPr>
          <w:sz w:val="28"/>
          <w:szCs w:val="28"/>
        </w:rPr>
        <w:t xml:space="preserve">Defence Export Controls (DEC) </w:t>
      </w:r>
      <w:r w:rsidR="00CB0C63">
        <w:rPr>
          <w:sz w:val="28"/>
          <w:szCs w:val="28"/>
        </w:rPr>
        <w:t xml:space="preserve">group </w:t>
      </w:r>
      <w:r w:rsidR="00E7602F">
        <w:rPr>
          <w:sz w:val="28"/>
          <w:szCs w:val="28"/>
        </w:rPr>
        <w:t>with</w:t>
      </w:r>
      <w:r w:rsidR="00E7602F" w:rsidRPr="007A4E61">
        <w:rPr>
          <w:sz w:val="28"/>
          <w:szCs w:val="28"/>
        </w:rPr>
        <w:t>in the Australian Department of Defence</w:t>
      </w:r>
      <w:r w:rsidR="00E7602F">
        <w:rPr>
          <w:sz w:val="28"/>
          <w:szCs w:val="28"/>
        </w:rPr>
        <w:t xml:space="preserve">. </w:t>
      </w:r>
    </w:p>
    <w:p w14:paraId="5C4C02B6" w14:textId="22F45C4A" w:rsidR="00CD4D4D" w:rsidRPr="007A4E61" w:rsidRDefault="003A1D5D" w:rsidP="003A1D5D">
      <w:pPr>
        <w:rPr>
          <w:sz w:val="28"/>
          <w:szCs w:val="28"/>
        </w:rPr>
      </w:pPr>
      <w:r w:rsidRPr="007A4E61">
        <w:rPr>
          <w:sz w:val="28"/>
          <w:szCs w:val="28"/>
        </w:rPr>
        <w:t xml:space="preserve">The Defence and Strategic Goods List (DSGL) is </w:t>
      </w:r>
      <w:r w:rsidR="00677A72" w:rsidRPr="007A4E61">
        <w:rPr>
          <w:sz w:val="28"/>
          <w:szCs w:val="28"/>
        </w:rPr>
        <w:t xml:space="preserve">primarily </w:t>
      </w:r>
      <w:r w:rsidRPr="007A4E61">
        <w:rPr>
          <w:sz w:val="28"/>
          <w:szCs w:val="28"/>
        </w:rPr>
        <w:t>comprised of listed goods, software and technologies that are derived from the control lists developed by the multilateral, non-proliferation and export control regimes of which Australia is a participating state</w:t>
      </w:r>
      <w:r w:rsidR="00677A72" w:rsidRPr="007A4E61">
        <w:rPr>
          <w:sz w:val="28"/>
          <w:szCs w:val="28"/>
        </w:rPr>
        <w:t>: the Australia Group, Missile Technology Control Regime, Nuclear Suppliers Group and Wassenaar Arrang</w:t>
      </w:r>
      <w:r w:rsidR="007A4E61">
        <w:rPr>
          <w:sz w:val="28"/>
          <w:szCs w:val="28"/>
        </w:rPr>
        <w:t>e</w:t>
      </w:r>
      <w:r w:rsidR="00677A72" w:rsidRPr="007A4E61">
        <w:rPr>
          <w:sz w:val="28"/>
          <w:szCs w:val="28"/>
        </w:rPr>
        <w:t>ment</w:t>
      </w:r>
      <w:r w:rsidRPr="007A4E61">
        <w:rPr>
          <w:sz w:val="28"/>
          <w:szCs w:val="28"/>
        </w:rPr>
        <w:t>.</w:t>
      </w:r>
      <w:r w:rsidR="00677A72" w:rsidRPr="007A4E61">
        <w:rPr>
          <w:sz w:val="28"/>
          <w:szCs w:val="28"/>
        </w:rPr>
        <w:t xml:space="preserve"> </w:t>
      </w:r>
    </w:p>
    <w:p w14:paraId="427161BC" w14:textId="148563A2" w:rsidR="003A1D5D" w:rsidRPr="007A4E61" w:rsidRDefault="00677A72" w:rsidP="003A1D5D">
      <w:pPr>
        <w:rPr>
          <w:sz w:val="28"/>
          <w:szCs w:val="28"/>
        </w:rPr>
      </w:pPr>
      <w:r w:rsidRPr="007A4E61">
        <w:rPr>
          <w:sz w:val="28"/>
          <w:szCs w:val="28"/>
        </w:rPr>
        <w:t>It also includes CWC schedule chemicals and certain unilateral controls, including relating to firearms and explosives.</w:t>
      </w:r>
      <w:r w:rsidR="003A1D5D" w:rsidRPr="007A4E61">
        <w:rPr>
          <w:sz w:val="28"/>
          <w:szCs w:val="28"/>
          <w:vertAlign w:val="superscript"/>
        </w:rPr>
        <w:t> </w:t>
      </w:r>
      <w:r w:rsidR="00441150" w:rsidRPr="007A4E61">
        <w:rPr>
          <w:sz w:val="28"/>
          <w:szCs w:val="28"/>
        </w:rPr>
        <w:t xml:space="preserve"> </w:t>
      </w:r>
      <w:r w:rsidR="003A1D5D" w:rsidRPr="007A4E61">
        <w:rPr>
          <w:sz w:val="28"/>
          <w:szCs w:val="28"/>
        </w:rPr>
        <w:t>The DSGL includes equipment, assemblies and components, associated test, inspection and production equipment, materials, chemicals, software and technology.</w:t>
      </w:r>
    </w:p>
    <w:p w14:paraId="4F75100E" w14:textId="396DA000" w:rsidR="00441150" w:rsidRPr="007A4E61" w:rsidRDefault="00441150" w:rsidP="00441150">
      <w:pPr>
        <w:rPr>
          <w:sz w:val="28"/>
          <w:szCs w:val="28"/>
        </w:rPr>
      </w:pPr>
      <w:r w:rsidRPr="007A4E61">
        <w:rPr>
          <w:sz w:val="28"/>
          <w:szCs w:val="28"/>
        </w:rPr>
        <w:t xml:space="preserve">The DSGL is reviewed </w:t>
      </w:r>
      <w:r w:rsidR="00E7602F">
        <w:rPr>
          <w:sz w:val="28"/>
          <w:szCs w:val="28"/>
        </w:rPr>
        <w:t xml:space="preserve">and updated </w:t>
      </w:r>
      <w:r w:rsidRPr="007A4E61">
        <w:rPr>
          <w:sz w:val="28"/>
          <w:szCs w:val="28"/>
        </w:rPr>
        <w:t>regularly to reflect decisions of key international non-proliferation and export control regimes, as well as Australia’s national interests more broadly.</w:t>
      </w:r>
    </w:p>
    <w:p w14:paraId="40CF8438" w14:textId="58850447" w:rsidR="0021688D" w:rsidRPr="007A4E61" w:rsidRDefault="0021688D" w:rsidP="00E47512">
      <w:pPr>
        <w:rPr>
          <w:sz w:val="28"/>
          <w:szCs w:val="28"/>
        </w:rPr>
      </w:pPr>
      <w:r w:rsidRPr="007A4E61">
        <w:rPr>
          <w:sz w:val="28"/>
          <w:szCs w:val="28"/>
        </w:rPr>
        <w:lastRenderedPageBreak/>
        <w:t>The DS</w:t>
      </w:r>
      <w:r w:rsidR="000C11D1">
        <w:rPr>
          <w:sz w:val="28"/>
          <w:szCs w:val="28"/>
        </w:rPr>
        <w:t>G</w:t>
      </w:r>
      <w:r w:rsidRPr="007A4E61">
        <w:rPr>
          <w:sz w:val="28"/>
          <w:szCs w:val="28"/>
        </w:rPr>
        <w:t>L applies to the movement of Defence-related goods, technology and services both within and outside Australia.</w:t>
      </w:r>
      <w:r w:rsidR="00677A72" w:rsidRPr="007A4E61">
        <w:rPr>
          <w:sz w:val="28"/>
          <w:szCs w:val="28"/>
        </w:rPr>
        <w:t xml:space="preserve"> </w:t>
      </w:r>
    </w:p>
    <w:p w14:paraId="7054E279" w14:textId="323FF5A3" w:rsidR="00C429B6" w:rsidRPr="007A4E61" w:rsidRDefault="00C429B6" w:rsidP="00E47512">
      <w:pPr>
        <w:rPr>
          <w:sz w:val="28"/>
          <w:szCs w:val="28"/>
        </w:rPr>
      </w:pPr>
      <w:r w:rsidRPr="10F64BD9">
        <w:rPr>
          <w:sz w:val="28"/>
          <w:szCs w:val="28"/>
        </w:rPr>
        <w:t>Any person or entity wishing to export, supply, publish or broker ‘controlled’ DSGL items will need to lodge a permit application with Defence (unless an exemption applies), while meeting obligations around reporting and compliance.</w:t>
      </w:r>
    </w:p>
    <w:p w14:paraId="7CB21690" w14:textId="549FD8E8" w:rsidR="00D81FAB" w:rsidRPr="007A4E61" w:rsidRDefault="00227E99" w:rsidP="00D81FAB">
      <w:pPr>
        <w:rPr>
          <w:sz w:val="28"/>
          <w:szCs w:val="28"/>
        </w:rPr>
      </w:pPr>
      <w:r w:rsidRPr="007A4E61">
        <w:rPr>
          <w:sz w:val="28"/>
          <w:szCs w:val="28"/>
        </w:rPr>
        <w:t>The categories used for the D</w:t>
      </w:r>
      <w:r w:rsidR="007510E9" w:rsidRPr="007A4E61">
        <w:rPr>
          <w:sz w:val="28"/>
          <w:szCs w:val="28"/>
        </w:rPr>
        <w:t>SG</w:t>
      </w:r>
      <w:r w:rsidRPr="007A4E61">
        <w:rPr>
          <w:sz w:val="28"/>
          <w:szCs w:val="28"/>
        </w:rPr>
        <w:t xml:space="preserve">L do not align directly with the </w:t>
      </w:r>
      <w:r w:rsidR="008E74CD" w:rsidRPr="007A4E61">
        <w:rPr>
          <w:sz w:val="28"/>
          <w:szCs w:val="28"/>
        </w:rPr>
        <w:t>categories listed under Article 2(1)</w:t>
      </w:r>
      <w:r w:rsidR="00E7602F">
        <w:rPr>
          <w:sz w:val="28"/>
          <w:szCs w:val="28"/>
        </w:rPr>
        <w:t xml:space="preserve"> of the ATT</w:t>
      </w:r>
      <w:r w:rsidR="008E74CD" w:rsidRPr="007A4E61">
        <w:rPr>
          <w:sz w:val="28"/>
          <w:szCs w:val="28"/>
        </w:rPr>
        <w:t xml:space="preserve">, but all </w:t>
      </w:r>
      <w:r w:rsidR="003F7811" w:rsidRPr="007A4E61">
        <w:rPr>
          <w:sz w:val="28"/>
          <w:szCs w:val="28"/>
        </w:rPr>
        <w:t xml:space="preserve">‘weapons’ described under Article 2 (1), </w:t>
      </w:r>
      <w:r w:rsidR="008E74CD" w:rsidRPr="007A4E61">
        <w:rPr>
          <w:sz w:val="28"/>
          <w:szCs w:val="28"/>
        </w:rPr>
        <w:t>are included within the DS</w:t>
      </w:r>
      <w:r w:rsidR="000C11D1">
        <w:rPr>
          <w:sz w:val="28"/>
          <w:szCs w:val="28"/>
        </w:rPr>
        <w:t>G</w:t>
      </w:r>
      <w:r w:rsidR="008E74CD" w:rsidRPr="007A4E61">
        <w:rPr>
          <w:sz w:val="28"/>
          <w:szCs w:val="28"/>
        </w:rPr>
        <w:t>L.</w:t>
      </w:r>
      <w:r w:rsidR="00D81FAB">
        <w:rPr>
          <w:sz w:val="28"/>
          <w:szCs w:val="28"/>
        </w:rPr>
        <w:t xml:space="preserve"> </w:t>
      </w:r>
      <w:r w:rsidR="00D81FAB" w:rsidRPr="007A4E61">
        <w:rPr>
          <w:sz w:val="28"/>
          <w:szCs w:val="28"/>
        </w:rPr>
        <w:t xml:space="preserve">All parts and components within </w:t>
      </w:r>
      <w:r w:rsidR="00580345">
        <w:rPr>
          <w:sz w:val="28"/>
          <w:szCs w:val="28"/>
        </w:rPr>
        <w:t xml:space="preserve">the </w:t>
      </w:r>
      <w:r w:rsidR="00D81FAB" w:rsidRPr="007A4E61">
        <w:rPr>
          <w:sz w:val="28"/>
          <w:szCs w:val="28"/>
        </w:rPr>
        <w:t xml:space="preserve">scope of the ATT are </w:t>
      </w:r>
      <w:r w:rsidR="00D81FAB">
        <w:rPr>
          <w:sz w:val="28"/>
          <w:szCs w:val="28"/>
        </w:rPr>
        <w:t xml:space="preserve">also </w:t>
      </w:r>
      <w:r w:rsidR="00D81FAB" w:rsidRPr="007A4E61">
        <w:rPr>
          <w:sz w:val="28"/>
          <w:szCs w:val="28"/>
        </w:rPr>
        <w:t>captured on the DSGL.</w:t>
      </w:r>
    </w:p>
    <w:p w14:paraId="57A9929D" w14:textId="6879D350" w:rsidR="00DC00BB" w:rsidRPr="007A4E61" w:rsidRDefault="00DC00BB" w:rsidP="00DC00BB">
      <w:pPr>
        <w:rPr>
          <w:sz w:val="28"/>
          <w:szCs w:val="28"/>
        </w:rPr>
      </w:pPr>
      <w:r w:rsidRPr="007A4E61">
        <w:rPr>
          <w:sz w:val="28"/>
          <w:szCs w:val="28"/>
        </w:rPr>
        <w:t>The DSGL is divided into two parts. Part 1 of the DSGL is the Munitions list, which covers defence and related goods – those goods, software, and technologies designed or adapted for use by armed forces or goods that are inherently lethal. These goods include:</w:t>
      </w:r>
    </w:p>
    <w:p w14:paraId="1F6A6435" w14:textId="77777777" w:rsidR="00DC00BB" w:rsidRPr="007A4E61" w:rsidRDefault="00DC00BB" w:rsidP="00DC00BB">
      <w:pPr>
        <w:numPr>
          <w:ilvl w:val="0"/>
          <w:numId w:val="2"/>
        </w:numPr>
        <w:rPr>
          <w:sz w:val="28"/>
          <w:szCs w:val="28"/>
        </w:rPr>
      </w:pPr>
      <w:r w:rsidRPr="007A4E61">
        <w:rPr>
          <w:sz w:val="28"/>
          <w:szCs w:val="28"/>
        </w:rPr>
        <w:t>Military Goods, being goods, software, or technology that are designed or adapted for military purposes, including their parts and accessories; and</w:t>
      </w:r>
    </w:p>
    <w:p w14:paraId="4F93108E" w14:textId="77777777" w:rsidR="00DC00BB" w:rsidRPr="007A4E61" w:rsidRDefault="00DC00BB" w:rsidP="00DC00BB">
      <w:pPr>
        <w:numPr>
          <w:ilvl w:val="0"/>
          <w:numId w:val="2"/>
        </w:numPr>
        <w:rPr>
          <w:sz w:val="28"/>
          <w:szCs w:val="28"/>
        </w:rPr>
      </w:pPr>
      <w:r w:rsidRPr="007A4E61">
        <w:rPr>
          <w:sz w:val="28"/>
          <w:szCs w:val="28"/>
        </w:rPr>
        <w:t>Non-Military Lethal Goods, being equipment that is inherently lethal, incapacitating or destructive such as non-military firearms, non-military ammunition, and commercial explosives and initiators.</w:t>
      </w:r>
    </w:p>
    <w:p w14:paraId="57EF067B" w14:textId="6FFB627A" w:rsidR="00DC00BB" w:rsidRPr="007A4E61" w:rsidRDefault="00DC00BB" w:rsidP="00DC00BB">
      <w:pPr>
        <w:rPr>
          <w:sz w:val="28"/>
          <w:szCs w:val="28"/>
        </w:rPr>
      </w:pPr>
      <w:r w:rsidRPr="007A4E61">
        <w:rPr>
          <w:sz w:val="28"/>
          <w:szCs w:val="28"/>
        </w:rPr>
        <w:t xml:space="preserve">Part 2 of the DSGL is the Dual-use list, which covers those goods that have a dual use. Dual-use goods comprise equipment, software and technologies developed to meet commercial needs, but which may be used either as military components or for the development or production of military systems, or weapons of mass destruction. Part 2 contains 10 categories, </w:t>
      </w:r>
      <w:r w:rsidR="00E7602F">
        <w:rPr>
          <w:sz w:val="28"/>
          <w:szCs w:val="28"/>
        </w:rPr>
        <w:t xml:space="preserve">including nuclear materials and chemicals, micro-organisms and toxins. </w:t>
      </w:r>
    </w:p>
    <w:p w14:paraId="539EA96C" w14:textId="09A2376E" w:rsidR="00DC00BB" w:rsidRDefault="007137CE" w:rsidP="00E47512">
      <w:pPr>
        <w:rPr>
          <w:sz w:val="28"/>
          <w:szCs w:val="28"/>
        </w:rPr>
      </w:pPr>
      <w:r w:rsidRPr="007A4E61">
        <w:rPr>
          <w:sz w:val="28"/>
          <w:szCs w:val="28"/>
        </w:rPr>
        <w:t>The DSGL also contains controls for items such as firearms</w:t>
      </w:r>
      <w:r w:rsidR="00E7602F">
        <w:rPr>
          <w:sz w:val="28"/>
          <w:szCs w:val="28"/>
        </w:rPr>
        <w:t>, ammunition</w:t>
      </w:r>
      <w:r w:rsidRPr="007A4E61">
        <w:rPr>
          <w:sz w:val="28"/>
          <w:szCs w:val="28"/>
        </w:rPr>
        <w:t xml:space="preserve"> and explosives that are specific to Australia.</w:t>
      </w:r>
    </w:p>
    <w:p w14:paraId="14306C8B" w14:textId="1EC03EEF" w:rsidR="007016EB" w:rsidRDefault="0030180E" w:rsidP="00937576">
      <w:pPr>
        <w:rPr>
          <w:sz w:val="28"/>
          <w:szCs w:val="28"/>
        </w:rPr>
      </w:pPr>
      <w:r>
        <w:rPr>
          <w:sz w:val="28"/>
          <w:szCs w:val="28"/>
        </w:rPr>
        <w:t xml:space="preserve">The DSGL is a critical tool for Australia including in assisting us meet our obligations under the ATT.  </w:t>
      </w:r>
      <w:r w:rsidR="00C33A5C" w:rsidRPr="10F64BD9">
        <w:rPr>
          <w:sz w:val="28"/>
          <w:szCs w:val="28"/>
        </w:rPr>
        <w:t xml:space="preserve">Australia </w:t>
      </w:r>
      <w:r w:rsidR="00035EC9" w:rsidRPr="10F64BD9">
        <w:rPr>
          <w:sz w:val="28"/>
          <w:szCs w:val="28"/>
        </w:rPr>
        <w:t>has</w:t>
      </w:r>
      <w:r w:rsidR="00C33A5C" w:rsidRPr="10F64BD9">
        <w:rPr>
          <w:sz w:val="28"/>
          <w:szCs w:val="28"/>
        </w:rPr>
        <w:t xml:space="preserve"> supporte</w:t>
      </w:r>
      <w:r w:rsidR="00035EC9" w:rsidRPr="10F64BD9">
        <w:rPr>
          <w:sz w:val="28"/>
          <w:szCs w:val="28"/>
        </w:rPr>
        <w:t xml:space="preserve">d </w:t>
      </w:r>
      <w:r w:rsidR="00C33A5C" w:rsidRPr="10F64BD9">
        <w:rPr>
          <w:sz w:val="28"/>
          <w:szCs w:val="28"/>
        </w:rPr>
        <w:t xml:space="preserve">the </w:t>
      </w:r>
      <w:r w:rsidR="00035EC9" w:rsidRPr="10F64BD9">
        <w:rPr>
          <w:sz w:val="28"/>
          <w:szCs w:val="28"/>
        </w:rPr>
        <w:t xml:space="preserve">ATT </w:t>
      </w:r>
      <w:r w:rsidR="00C33A5C" w:rsidRPr="10F64BD9">
        <w:rPr>
          <w:sz w:val="28"/>
          <w:szCs w:val="28"/>
        </w:rPr>
        <w:t xml:space="preserve">Voluntary Trust Fund </w:t>
      </w:r>
      <w:r w:rsidR="00035EC9" w:rsidRPr="10F64BD9">
        <w:rPr>
          <w:sz w:val="28"/>
          <w:szCs w:val="28"/>
        </w:rPr>
        <w:t>and encourages its use to help States develop their national control lists.</w:t>
      </w:r>
    </w:p>
    <w:p w14:paraId="3B034E61" w14:textId="4C1F05C5" w:rsidR="00E47512" w:rsidRDefault="00D27F33" w:rsidP="00763B96">
      <w:r>
        <w:rPr>
          <w:sz w:val="28"/>
          <w:szCs w:val="28"/>
        </w:rPr>
        <w:t>I</w:t>
      </w:r>
      <w:r w:rsidR="00D81FAB">
        <w:rPr>
          <w:sz w:val="28"/>
          <w:szCs w:val="28"/>
        </w:rPr>
        <w:t xml:space="preserve"> thank you</w:t>
      </w:r>
      <w:r>
        <w:rPr>
          <w:sz w:val="28"/>
          <w:szCs w:val="28"/>
        </w:rPr>
        <w:t>.</w:t>
      </w:r>
    </w:p>
    <w:sectPr w:rsidR="00E47512" w:rsidSect="003018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B41F" w14:textId="77777777" w:rsidR="00C909CE" w:rsidRDefault="00C909CE" w:rsidP="00E47512">
      <w:pPr>
        <w:spacing w:after="0" w:line="240" w:lineRule="auto"/>
      </w:pPr>
      <w:r>
        <w:separator/>
      </w:r>
    </w:p>
  </w:endnote>
  <w:endnote w:type="continuationSeparator" w:id="0">
    <w:p w14:paraId="534307C8" w14:textId="77777777" w:rsidR="00C909CE" w:rsidRDefault="00C909CE" w:rsidP="00E4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C6DB" w14:textId="4CAF7E3A" w:rsidR="0067434E" w:rsidRDefault="0067434E">
    <w:pPr>
      <w:pStyle w:val="Footer"/>
    </w:pPr>
    <w:r>
      <w:rPr>
        <w:noProof/>
        <w:lang w:eastAsia="en-AU"/>
      </w:rPr>
      <mc:AlternateContent>
        <mc:Choice Requires="wps">
          <w:drawing>
            <wp:anchor distT="0" distB="0" distL="114300" distR="114300" simplePos="0" relativeHeight="251664384" behindDoc="0" locked="1" layoutInCell="0" allowOverlap="1" wp14:anchorId="038A5329" wp14:editId="695B9559">
              <wp:simplePos x="0" y="0"/>
              <wp:positionH relativeFrom="margin">
                <wp:align>center</wp:align>
              </wp:positionH>
              <wp:positionV relativeFrom="bottomMargin">
                <wp:align>center</wp:align>
              </wp:positionV>
              <wp:extent cx="892175" cy="300990"/>
              <wp:effectExtent l="0" t="0" r="0" b="3810"/>
              <wp:wrapNone/>
              <wp:docPr id="725186627" name="janusSEAL SC F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33E4E" w14:textId="5A999462"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8A5329" id="_x0000_t202" coordsize="21600,21600" o:spt="202" path="m,l,21600r21600,l21600,xe">
              <v:stroke joinstyle="miter"/>
              <v:path gradientshapeok="t" o:connecttype="rect"/>
            </v:shapetype>
            <v:shape id="janusSEAL SC F_EvenPage" o:spid="_x0000_s1028" type="#_x0000_t202" style="position:absolute;margin-left:0;margin-top:0;width:70.25pt;height:23.7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4x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t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vNVOMRoCAAAwBAAADgAAAAAAAAAAAAAAAAAuAgAAZHJzL2Uyb0RvYy54bWxQSwECLQAUAAYA&#10;CAAAACEA0tzKntsAAAAEAQAADwAAAAAAAAAAAAAAAAB0BAAAZHJzL2Rvd25yZXYueG1sUEsFBgAA&#10;AAAEAAQA8wAAAHwFAAAAAA==&#10;" o:allowincell="f" filled="f" stroked="f" strokeweight=".5pt">
              <v:textbox style="mso-fit-shape-to-text:t">
                <w:txbxContent>
                  <w:p w14:paraId="76133E4E" w14:textId="5A999462"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6205" w14:textId="692490F3" w:rsidR="0067434E" w:rsidRDefault="0067434E">
    <w:pPr>
      <w:pStyle w:val="Footer"/>
    </w:pPr>
    <w:r>
      <w:rPr>
        <w:noProof/>
        <w:lang w:eastAsia="en-AU"/>
      </w:rPr>
      <mc:AlternateContent>
        <mc:Choice Requires="wps">
          <w:drawing>
            <wp:anchor distT="0" distB="0" distL="114300" distR="114300" simplePos="0" relativeHeight="251662336" behindDoc="0" locked="1" layoutInCell="0" allowOverlap="1" wp14:anchorId="3AD9A1D4" wp14:editId="56CACD24">
              <wp:simplePos x="0" y="0"/>
              <wp:positionH relativeFrom="margin">
                <wp:align>center</wp:align>
              </wp:positionH>
              <wp:positionV relativeFrom="bottomMargin">
                <wp:align>center</wp:align>
              </wp:positionV>
              <wp:extent cx="892175" cy="300990"/>
              <wp:effectExtent l="0" t="0" r="0" b="3810"/>
              <wp:wrapNone/>
              <wp:docPr id="753407078" name="janusSEAL SC Foot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BE54B" w14:textId="7B94F621"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D9A1D4" id="_x0000_t202" coordsize="21600,21600" o:spt="202" path="m,l,21600r21600,l21600,xe">
              <v:stroke joinstyle="miter"/>
              <v:path gradientshapeok="t" o:connecttype="rect"/>
            </v:shapetype>
            <v:shape id="janusSEAL SC Footer" o:spid="_x0000_s1029" type="#_x0000_t202" style="position:absolute;margin-left:0;margin-top:0;width:70.25pt;height:23.7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mt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2FXZzG2EB1wOkc9MR7y5cN9rBi&#10;Prwyh0zjQKje8IKLVIC14GhRUoP7/dl9jEcC0EtJi8opqUFpU6J+GiRmOhyPo9DSYTy5G+HBXXs2&#10;1x6z04+A0hziL7E8mTE+qJMpHeh3lPgi1kQXMxwrlzSczMfQqxm/CBeLRQpCaVkWVmZteUwdMY34&#10;vnXvzNkjCQHZe4aTwljxgYs+Nr70drELyEgiKqLcY3oEH2WZ+Dt+oaj763OKunz0+R8A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gHCprRoCAAAwBAAADgAAAAAAAAAAAAAAAAAuAgAAZHJzL2Uyb0RvYy54bWxQSwECLQAUAAYA&#10;CAAAACEA0tzKntsAAAAEAQAADwAAAAAAAAAAAAAAAAB0BAAAZHJzL2Rvd25yZXYueG1sUEsFBgAA&#10;AAAEAAQA8wAAAHwFAAAAAA==&#10;" o:allowincell="f" filled="f" stroked="f" strokeweight=".5pt">
              <v:textbox style="mso-fit-shape-to-text:t">
                <w:txbxContent>
                  <w:p w14:paraId="506BE54B" w14:textId="7B94F621"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3717" w14:textId="70FE2543" w:rsidR="0067434E" w:rsidRDefault="0067434E">
    <w:pPr>
      <w:pStyle w:val="Footer"/>
    </w:pPr>
    <w:r>
      <w:rPr>
        <w:noProof/>
        <w:lang w:eastAsia="en-AU"/>
      </w:rPr>
      <mc:AlternateContent>
        <mc:Choice Requires="wps">
          <w:drawing>
            <wp:anchor distT="0" distB="0" distL="114300" distR="114300" simplePos="0" relativeHeight="251663360" behindDoc="0" locked="1" layoutInCell="0" allowOverlap="1" wp14:anchorId="60E876BF" wp14:editId="1CB34A93">
              <wp:simplePos x="0" y="0"/>
              <wp:positionH relativeFrom="margin">
                <wp:align>center</wp:align>
              </wp:positionH>
              <wp:positionV relativeFrom="bottomMargin">
                <wp:align>center</wp:align>
              </wp:positionV>
              <wp:extent cx="892175" cy="300990"/>
              <wp:effectExtent l="0" t="0" r="0" b="3810"/>
              <wp:wrapNone/>
              <wp:docPr id="283562785" name="janusSEAL SC F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F9A3A" w14:textId="3BC0AA8C"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E876BF" id="_x0000_t202" coordsize="21600,21600" o:spt="202" path="m,l,21600r21600,l21600,xe">
              <v:stroke joinstyle="miter"/>
              <v:path gradientshapeok="t" o:connecttype="rect"/>
            </v:shapetype>
            <v:shape id="janusSEAL SC F_FirstPage" o:spid="_x0000_s1031" type="#_x0000_t202" style="position:absolute;margin-left:0;margin-top:0;width:70.25pt;height:23.7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R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sl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iqIaURoCAAAwBAAADgAAAAAAAAAAAAAAAAAuAgAAZHJzL2Uyb0RvYy54bWxQSwECLQAUAAYA&#10;CAAAACEA0tzKntsAAAAEAQAADwAAAAAAAAAAAAAAAAB0BAAAZHJzL2Rvd25yZXYueG1sUEsFBgAA&#10;AAAEAAQA8wAAAHwFAAAAAA==&#10;" o:allowincell="f" filled="f" stroked="f" strokeweight=".5pt">
              <v:textbox style="mso-fit-shape-to-text:t">
                <w:txbxContent>
                  <w:p w14:paraId="4DFF9A3A" w14:textId="3BC0AA8C"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PM_ProtectiveMarkingValue_Footer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19C7" w14:textId="77777777" w:rsidR="00C909CE" w:rsidRDefault="00C909CE" w:rsidP="00E47512">
      <w:pPr>
        <w:spacing w:after="0" w:line="240" w:lineRule="auto"/>
      </w:pPr>
      <w:r>
        <w:separator/>
      </w:r>
    </w:p>
  </w:footnote>
  <w:footnote w:type="continuationSeparator" w:id="0">
    <w:p w14:paraId="2E965AFF" w14:textId="77777777" w:rsidR="00C909CE" w:rsidRDefault="00C909CE" w:rsidP="00E4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39C6" w14:textId="4D1B2BE5" w:rsidR="0067434E" w:rsidRDefault="0067434E">
    <w:pPr>
      <w:pStyle w:val="Header"/>
    </w:pPr>
    <w:r>
      <w:rPr>
        <w:noProof/>
        <w:lang w:eastAsia="en-AU"/>
      </w:rPr>
      <mc:AlternateContent>
        <mc:Choice Requires="wps">
          <w:drawing>
            <wp:anchor distT="0" distB="0" distL="114300" distR="114300" simplePos="0" relativeHeight="251661312" behindDoc="0" locked="1" layoutInCell="0" allowOverlap="1" wp14:anchorId="266FCFF4" wp14:editId="49BCF3B9">
              <wp:simplePos x="0" y="0"/>
              <wp:positionH relativeFrom="margin">
                <wp:align>center</wp:align>
              </wp:positionH>
              <wp:positionV relativeFrom="topMargin">
                <wp:align>center</wp:align>
              </wp:positionV>
              <wp:extent cx="892175" cy="300990"/>
              <wp:effectExtent l="0" t="0" r="0" b="3810"/>
              <wp:wrapNone/>
              <wp:docPr id="2020561794" name="janusSEAL SC H_Even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72DC6" w14:textId="318502D7"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6FCFF4" id="_x0000_t202" coordsize="21600,21600" o:spt="202" path="m,l,21600r21600,l21600,xe">
              <v:stroke joinstyle="miter"/>
              <v:path gradientshapeok="t" o:connecttype="rect"/>
            </v:shapetype>
            <v:shape id="janusSEAL SC H_EvenPage" o:spid="_x0000_s1026" type="#_x0000_t202" style="position:absolute;margin-left:0;margin-top:0;width:70.25pt;height:23.7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" o:allowincell="f" filled="f" stroked="f" strokeweight=".5pt">
              <v:textbox style="mso-fit-shape-to-text:t">
                <w:txbxContent>
                  <w:p w14:paraId="55572DC6" w14:textId="318502D7"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EBD4" w14:textId="2F5A468E" w:rsidR="0067434E" w:rsidRDefault="0067434E">
    <w:pPr>
      <w:pStyle w:val="Header"/>
    </w:pPr>
    <w:r>
      <w:rPr>
        <w:noProof/>
        <w:lang w:eastAsia="en-AU"/>
      </w:rPr>
      <mc:AlternateContent>
        <mc:Choice Requires="wps">
          <w:drawing>
            <wp:anchor distT="0" distB="0" distL="114300" distR="114300" simplePos="0" relativeHeight="251659264" behindDoc="0" locked="1" layoutInCell="0" allowOverlap="1" wp14:anchorId="35517DD1" wp14:editId="2B60663D">
              <wp:simplePos x="0" y="0"/>
              <wp:positionH relativeFrom="margin">
                <wp:align>center</wp:align>
              </wp:positionH>
              <wp:positionV relativeFrom="topMargin">
                <wp:align>center</wp:align>
              </wp:positionV>
              <wp:extent cx="892175" cy="300990"/>
              <wp:effectExtent l="0" t="0" r="0" b="3810"/>
              <wp:wrapNone/>
              <wp:docPr id="2105894685" name="janusSEAL SC Head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98DF9" w14:textId="09FE4AB3"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517DD1" id="_x0000_t202" coordsize="21600,21600" o:spt="202" path="m,l,21600r21600,l21600,xe">
              <v:stroke joinstyle="miter"/>
              <v:path gradientshapeok="t" o:connecttype="rect"/>
            </v:shapetype>
            <v:shape id="janusSEAL SC Header" o:spid="_x0000_s1027" type="#_x0000_t202" style="position:absolute;margin-left:0;margin-top:0;width:70.25pt;height:23.7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dPGA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" o:allowincell="f" filled="f" stroked="f" strokeweight=".5pt">
              <v:textbox style="mso-fit-shape-to-text:t">
                <w:txbxContent>
                  <w:p w14:paraId="3F198DF9" w14:textId="09FE4AB3"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81A" w14:textId="115B4F6C" w:rsidR="0067434E" w:rsidRDefault="0067434E">
    <w:pPr>
      <w:pStyle w:val="Header"/>
    </w:pPr>
    <w:r>
      <w:rPr>
        <w:noProof/>
        <w:lang w:eastAsia="en-AU"/>
      </w:rPr>
      <mc:AlternateContent>
        <mc:Choice Requires="wps">
          <w:drawing>
            <wp:anchor distT="0" distB="0" distL="114300" distR="114300" simplePos="0" relativeHeight="251660288" behindDoc="0" locked="1" layoutInCell="0" allowOverlap="1" wp14:anchorId="77028E10" wp14:editId="7B847C5B">
              <wp:simplePos x="0" y="0"/>
              <wp:positionH relativeFrom="margin">
                <wp:align>center</wp:align>
              </wp:positionH>
              <wp:positionV relativeFrom="topMargin">
                <wp:align>center</wp:align>
              </wp:positionV>
              <wp:extent cx="892175" cy="300990"/>
              <wp:effectExtent l="0" t="0" r="0" b="3810"/>
              <wp:wrapNone/>
              <wp:docPr id="1646967967" name="janusSEAL SC H_FirstPage"/>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A6379" w14:textId="36147443"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028E10" id="_x0000_t202" coordsize="21600,21600" o:spt="202" path="m,l,21600r21600,l21600,xe">
              <v:stroke joinstyle="miter"/>
              <v:path gradientshapeok="t" o:connecttype="rect"/>
            </v:shapetype>
            <v:shape id="janusSEAL SC H_FirstPage" o:spid="_x0000_s1030" type="#_x0000_t202" style="position:absolute;margin-left:0;margin-top:0;width:70.25pt;height:23.7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Gg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" o:allowincell="f" filled="f" stroked="f" strokeweight=".5pt">
              <v:textbox style="mso-fit-shape-to-text:t">
                <w:txbxContent>
                  <w:p w14:paraId="4ACA6379" w14:textId="36147443" w:rsidR="0067434E" w:rsidRPr="0067434E" w:rsidRDefault="0067434E" w:rsidP="0025596E">
                    <w:pPr>
                      <w:spacing w:after="0"/>
                      <w:jc w:val="center"/>
                      <w:rPr>
                        <w:rFonts w:ascii="Arial" w:hAnsi="Arial" w:cs="Arial"/>
                        <w:b/>
                        <w:color w:val="FF0000"/>
                      </w:rPr>
                    </w:pPr>
                    <w:r w:rsidRPr="0067434E">
                      <w:rPr>
                        <w:rFonts w:ascii="Arial" w:hAnsi="Arial" w:cs="Arial"/>
                        <w:b/>
                        <w:color w:val="FF0000"/>
                      </w:rPr>
                      <w:fldChar w:fldCharType="begin"/>
                    </w:r>
                    <w:r w:rsidRPr="0067434E">
                      <w:rPr>
                        <w:rFonts w:ascii="Arial" w:hAnsi="Arial" w:cs="Arial"/>
                        <w:b/>
                        <w:color w:val="FF0000"/>
                      </w:rPr>
                      <w:instrText xml:space="preserve"> DOCPROPERTY PM_ProtectiveMarkingValue_Header \* MERGEFORMAT </w:instrText>
                    </w:r>
                    <w:r w:rsidRPr="0067434E">
                      <w:rPr>
                        <w:rFonts w:ascii="Arial" w:hAnsi="Arial" w:cs="Arial"/>
                        <w:b/>
                        <w:color w:val="FF0000"/>
                      </w:rPr>
                      <w:fldChar w:fldCharType="separate"/>
                    </w:r>
                    <w:r w:rsidR="0025596E">
                      <w:rPr>
                        <w:rFonts w:ascii="Arial" w:hAnsi="Arial" w:cs="Arial"/>
                        <w:b/>
                        <w:color w:val="FF0000"/>
                      </w:rPr>
                      <w:t>OFFICIAL</w:t>
                    </w:r>
                    <w:r w:rsidRPr="0067434E">
                      <w:rPr>
                        <w:rFonts w:ascii="Arial" w:hAnsi="Arial" w:cs="Arial"/>
                        <w:b/>
                        <w:color w:val="FF0000"/>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F1C"/>
    <w:multiLevelType w:val="multilevel"/>
    <w:tmpl w:val="BEF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30080"/>
    <w:multiLevelType w:val="multilevel"/>
    <w:tmpl w:val="DDB0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8E4186"/>
    <w:multiLevelType w:val="multilevel"/>
    <w:tmpl w:val="C2DE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103382">
    <w:abstractNumId w:val="1"/>
  </w:num>
  <w:num w:numId="2" w16cid:durableId="1724132352">
    <w:abstractNumId w:val="0"/>
  </w:num>
  <w:num w:numId="3" w16cid:durableId="6010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12"/>
    <w:rsid w:val="0001738B"/>
    <w:rsid w:val="000279B2"/>
    <w:rsid w:val="000324B4"/>
    <w:rsid w:val="00035EC9"/>
    <w:rsid w:val="00056062"/>
    <w:rsid w:val="000C11D1"/>
    <w:rsid w:val="000C5183"/>
    <w:rsid w:val="000C55EF"/>
    <w:rsid w:val="000E7433"/>
    <w:rsid w:val="000F540B"/>
    <w:rsid w:val="00100D78"/>
    <w:rsid w:val="0010575A"/>
    <w:rsid w:val="00123183"/>
    <w:rsid w:val="001B075E"/>
    <w:rsid w:val="001E6470"/>
    <w:rsid w:val="002068B2"/>
    <w:rsid w:val="0021688D"/>
    <w:rsid w:val="00227E99"/>
    <w:rsid w:val="00242B25"/>
    <w:rsid w:val="0025596E"/>
    <w:rsid w:val="002676DE"/>
    <w:rsid w:val="00281B33"/>
    <w:rsid w:val="002821A6"/>
    <w:rsid w:val="002A5F7E"/>
    <w:rsid w:val="0030180E"/>
    <w:rsid w:val="0032487D"/>
    <w:rsid w:val="00343BBB"/>
    <w:rsid w:val="003A1D5D"/>
    <w:rsid w:val="003D61B0"/>
    <w:rsid w:val="003E2004"/>
    <w:rsid w:val="003F7811"/>
    <w:rsid w:val="00425EB5"/>
    <w:rsid w:val="00441150"/>
    <w:rsid w:val="004825C0"/>
    <w:rsid w:val="004A25C2"/>
    <w:rsid w:val="004A2715"/>
    <w:rsid w:val="004C5981"/>
    <w:rsid w:val="004E20DA"/>
    <w:rsid w:val="00511C34"/>
    <w:rsid w:val="00552E71"/>
    <w:rsid w:val="00580199"/>
    <w:rsid w:val="00580345"/>
    <w:rsid w:val="005E4948"/>
    <w:rsid w:val="006165D9"/>
    <w:rsid w:val="00622D8B"/>
    <w:rsid w:val="00661A5B"/>
    <w:rsid w:val="0067434E"/>
    <w:rsid w:val="00677A72"/>
    <w:rsid w:val="006831D0"/>
    <w:rsid w:val="006B5B24"/>
    <w:rsid w:val="006F02A4"/>
    <w:rsid w:val="007016EB"/>
    <w:rsid w:val="007137CE"/>
    <w:rsid w:val="00731766"/>
    <w:rsid w:val="007510E9"/>
    <w:rsid w:val="0076326C"/>
    <w:rsid w:val="00763B96"/>
    <w:rsid w:val="007811EB"/>
    <w:rsid w:val="007974A1"/>
    <w:rsid w:val="007A4C48"/>
    <w:rsid w:val="007A4E61"/>
    <w:rsid w:val="007B4EC6"/>
    <w:rsid w:val="007C680D"/>
    <w:rsid w:val="00851A47"/>
    <w:rsid w:val="0087755E"/>
    <w:rsid w:val="008949B8"/>
    <w:rsid w:val="008B3A25"/>
    <w:rsid w:val="008D36C8"/>
    <w:rsid w:val="008E74CD"/>
    <w:rsid w:val="00937576"/>
    <w:rsid w:val="0095504F"/>
    <w:rsid w:val="009A7EE6"/>
    <w:rsid w:val="009C121E"/>
    <w:rsid w:val="009C2AB5"/>
    <w:rsid w:val="009D5E7F"/>
    <w:rsid w:val="009D69C1"/>
    <w:rsid w:val="00A76453"/>
    <w:rsid w:val="00A800BF"/>
    <w:rsid w:val="00B337D7"/>
    <w:rsid w:val="00B55591"/>
    <w:rsid w:val="00B56B2C"/>
    <w:rsid w:val="00C33A5C"/>
    <w:rsid w:val="00C35A3C"/>
    <w:rsid w:val="00C429B6"/>
    <w:rsid w:val="00C909CE"/>
    <w:rsid w:val="00C92B7C"/>
    <w:rsid w:val="00CB0C63"/>
    <w:rsid w:val="00CD4D4D"/>
    <w:rsid w:val="00CF1F80"/>
    <w:rsid w:val="00D26111"/>
    <w:rsid w:val="00D27F33"/>
    <w:rsid w:val="00D5409F"/>
    <w:rsid w:val="00D559CE"/>
    <w:rsid w:val="00D60F4E"/>
    <w:rsid w:val="00D81FAB"/>
    <w:rsid w:val="00D81FDD"/>
    <w:rsid w:val="00DC00BB"/>
    <w:rsid w:val="00DC67AB"/>
    <w:rsid w:val="00DF7128"/>
    <w:rsid w:val="00E01D39"/>
    <w:rsid w:val="00E0283E"/>
    <w:rsid w:val="00E120DB"/>
    <w:rsid w:val="00E145ED"/>
    <w:rsid w:val="00E27DAC"/>
    <w:rsid w:val="00E35C43"/>
    <w:rsid w:val="00E42B98"/>
    <w:rsid w:val="00E43273"/>
    <w:rsid w:val="00E47512"/>
    <w:rsid w:val="00E7602F"/>
    <w:rsid w:val="00ED396E"/>
    <w:rsid w:val="00F32F78"/>
    <w:rsid w:val="00F34AAC"/>
    <w:rsid w:val="00FC3970"/>
    <w:rsid w:val="00FE3092"/>
    <w:rsid w:val="10F64BD9"/>
    <w:rsid w:val="1D558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83CB"/>
  <w15:chartTrackingRefBased/>
  <w15:docId w15:val="{EC58767F-2189-4159-BA1F-B8027F7E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512"/>
    <w:rPr>
      <w:rFonts w:eastAsiaTheme="majorEastAsia" w:cstheme="majorBidi"/>
      <w:color w:val="272727" w:themeColor="text1" w:themeTint="D8"/>
    </w:rPr>
  </w:style>
  <w:style w:type="paragraph" w:styleId="Title">
    <w:name w:val="Title"/>
    <w:basedOn w:val="Normal"/>
    <w:next w:val="Normal"/>
    <w:link w:val="TitleChar"/>
    <w:uiPriority w:val="10"/>
    <w:qFormat/>
    <w:rsid w:val="00E4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512"/>
    <w:pPr>
      <w:spacing w:before="160"/>
      <w:jc w:val="center"/>
    </w:pPr>
    <w:rPr>
      <w:i/>
      <w:iCs/>
      <w:color w:val="404040" w:themeColor="text1" w:themeTint="BF"/>
    </w:rPr>
  </w:style>
  <w:style w:type="character" w:customStyle="1" w:styleId="QuoteChar">
    <w:name w:val="Quote Char"/>
    <w:basedOn w:val="DefaultParagraphFont"/>
    <w:link w:val="Quote"/>
    <w:uiPriority w:val="29"/>
    <w:rsid w:val="00E47512"/>
    <w:rPr>
      <w:i/>
      <w:iCs/>
      <w:color w:val="404040" w:themeColor="text1" w:themeTint="BF"/>
    </w:rPr>
  </w:style>
  <w:style w:type="paragraph" w:styleId="ListParagraph">
    <w:name w:val="List Paragraph"/>
    <w:basedOn w:val="Normal"/>
    <w:uiPriority w:val="34"/>
    <w:qFormat/>
    <w:rsid w:val="00E47512"/>
    <w:pPr>
      <w:ind w:left="720"/>
      <w:contextualSpacing/>
    </w:pPr>
  </w:style>
  <w:style w:type="character" w:styleId="IntenseEmphasis">
    <w:name w:val="Intense Emphasis"/>
    <w:basedOn w:val="DefaultParagraphFont"/>
    <w:uiPriority w:val="21"/>
    <w:qFormat/>
    <w:rsid w:val="00E47512"/>
    <w:rPr>
      <w:i/>
      <w:iCs/>
      <w:color w:val="0F4761" w:themeColor="accent1" w:themeShade="BF"/>
    </w:rPr>
  </w:style>
  <w:style w:type="paragraph" w:styleId="IntenseQuote">
    <w:name w:val="Intense Quote"/>
    <w:basedOn w:val="Normal"/>
    <w:next w:val="Normal"/>
    <w:link w:val="IntenseQuoteChar"/>
    <w:uiPriority w:val="30"/>
    <w:qFormat/>
    <w:rsid w:val="00E4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512"/>
    <w:rPr>
      <w:i/>
      <w:iCs/>
      <w:color w:val="0F4761" w:themeColor="accent1" w:themeShade="BF"/>
    </w:rPr>
  </w:style>
  <w:style w:type="character" w:styleId="IntenseReference">
    <w:name w:val="Intense Reference"/>
    <w:basedOn w:val="DefaultParagraphFont"/>
    <w:uiPriority w:val="32"/>
    <w:qFormat/>
    <w:rsid w:val="00E47512"/>
    <w:rPr>
      <w:b/>
      <w:bCs/>
      <w:smallCaps/>
      <w:color w:val="0F4761" w:themeColor="accent1" w:themeShade="BF"/>
      <w:spacing w:val="5"/>
    </w:rPr>
  </w:style>
  <w:style w:type="character" w:styleId="Hyperlink">
    <w:name w:val="Hyperlink"/>
    <w:basedOn w:val="DefaultParagraphFont"/>
    <w:uiPriority w:val="99"/>
    <w:unhideWhenUsed/>
    <w:rsid w:val="00E47512"/>
    <w:rPr>
      <w:color w:val="467886" w:themeColor="hyperlink"/>
      <w:u w:val="single"/>
    </w:rPr>
  </w:style>
  <w:style w:type="character" w:customStyle="1" w:styleId="UnresolvedMention1">
    <w:name w:val="Unresolved Mention1"/>
    <w:basedOn w:val="DefaultParagraphFont"/>
    <w:uiPriority w:val="99"/>
    <w:semiHidden/>
    <w:unhideWhenUsed/>
    <w:rsid w:val="00E47512"/>
    <w:rPr>
      <w:color w:val="605E5C"/>
      <w:shd w:val="clear" w:color="auto" w:fill="E1DFDD"/>
    </w:rPr>
  </w:style>
  <w:style w:type="paragraph" w:styleId="Header">
    <w:name w:val="header"/>
    <w:basedOn w:val="Normal"/>
    <w:link w:val="HeaderChar"/>
    <w:uiPriority w:val="99"/>
    <w:unhideWhenUsed/>
    <w:rsid w:val="00674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34E"/>
  </w:style>
  <w:style w:type="paragraph" w:styleId="Footer">
    <w:name w:val="footer"/>
    <w:basedOn w:val="Normal"/>
    <w:link w:val="FooterChar"/>
    <w:uiPriority w:val="99"/>
    <w:unhideWhenUsed/>
    <w:rsid w:val="00674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34E"/>
  </w:style>
  <w:style w:type="paragraph" w:styleId="Revision">
    <w:name w:val="Revision"/>
    <w:hidden/>
    <w:uiPriority w:val="99"/>
    <w:semiHidden/>
    <w:rsid w:val="007510E9"/>
    <w:pPr>
      <w:spacing w:after="0" w:line="240" w:lineRule="auto"/>
    </w:pPr>
  </w:style>
  <w:style w:type="table" w:styleId="TableGrid">
    <w:name w:val="Table Grid"/>
    <w:basedOn w:val="TableNormal"/>
    <w:uiPriority w:val="39"/>
    <w:rsid w:val="00032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9CE"/>
    <w:rPr>
      <w:sz w:val="16"/>
      <w:szCs w:val="16"/>
    </w:rPr>
  </w:style>
  <w:style w:type="paragraph" w:styleId="CommentText">
    <w:name w:val="annotation text"/>
    <w:basedOn w:val="Normal"/>
    <w:link w:val="CommentTextChar"/>
    <w:uiPriority w:val="99"/>
    <w:unhideWhenUsed/>
    <w:rsid w:val="00D559CE"/>
    <w:pPr>
      <w:spacing w:line="240" w:lineRule="auto"/>
    </w:pPr>
    <w:rPr>
      <w:sz w:val="20"/>
      <w:szCs w:val="20"/>
    </w:rPr>
  </w:style>
  <w:style w:type="character" w:customStyle="1" w:styleId="CommentTextChar">
    <w:name w:val="Comment Text Char"/>
    <w:basedOn w:val="DefaultParagraphFont"/>
    <w:link w:val="CommentText"/>
    <w:uiPriority w:val="99"/>
    <w:rsid w:val="00D559CE"/>
    <w:rPr>
      <w:sz w:val="20"/>
      <w:szCs w:val="20"/>
    </w:rPr>
  </w:style>
  <w:style w:type="paragraph" w:styleId="CommentSubject">
    <w:name w:val="annotation subject"/>
    <w:basedOn w:val="CommentText"/>
    <w:next w:val="CommentText"/>
    <w:link w:val="CommentSubjectChar"/>
    <w:uiPriority w:val="99"/>
    <w:semiHidden/>
    <w:unhideWhenUsed/>
    <w:rsid w:val="00D559CE"/>
    <w:rPr>
      <w:b/>
      <w:bCs/>
    </w:rPr>
  </w:style>
  <w:style w:type="character" w:customStyle="1" w:styleId="CommentSubjectChar">
    <w:name w:val="Comment Subject Char"/>
    <w:basedOn w:val="CommentTextChar"/>
    <w:link w:val="CommentSubject"/>
    <w:uiPriority w:val="99"/>
    <w:semiHidden/>
    <w:rsid w:val="00D559CE"/>
    <w:rPr>
      <w:b/>
      <w:bCs/>
      <w:sz w:val="20"/>
      <w:szCs w:val="20"/>
    </w:rPr>
  </w:style>
  <w:style w:type="character" w:styleId="UnresolvedMention">
    <w:name w:val="Unresolved Mention"/>
    <w:basedOn w:val="DefaultParagraphFont"/>
    <w:uiPriority w:val="99"/>
    <w:semiHidden/>
    <w:unhideWhenUsed/>
    <w:rsid w:val="00D5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2055">
      <w:bodyDiv w:val="1"/>
      <w:marLeft w:val="0"/>
      <w:marRight w:val="0"/>
      <w:marTop w:val="0"/>
      <w:marBottom w:val="0"/>
      <w:divBdr>
        <w:top w:val="none" w:sz="0" w:space="0" w:color="auto"/>
        <w:left w:val="none" w:sz="0" w:space="0" w:color="auto"/>
        <w:bottom w:val="none" w:sz="0" w:space="0" w:color="auto"/>
        <w:right w:val="none" w:sz="0" w:space="0" w:color="auto"/>
      </w:divBdr>
    </w:div>
    <w:div w:id="192232168">
      <w:bodyDiv w:val="1"/>
      <w:marLeft w:val="0"/>
      <w:marRight w:val="0"/>
      <w:marTop w:val="0"/>
      <w:marBottom w:val="0"/>
      <w:divBdr>
        <w:top w:val="none" w:sz="0" w:space="0" w:color="auto"/>
        <w:left w:val="none" w:sz="0" w:space="0" w:color="auto"/>
        <w:bottom w:val="none" w:sz="0" w:space="0" w:color="auto"/>
        <w:right w:val="none" w:sz="0" w:space="0" w:color="auto"/>
      </w:divBdr>
    </w:div>
    <w:div w:id="232594527">
      <w:bodyDiv w:val="1"/>
      <w:marLeft w:val="0"/>
      <w:marRight w:val="0"/>
      <w:marTop w:val="0"/>
      <w:marBottom w:val="0"/>
      <w:divBdr>
        <w:top w:val="none" w:sz="0" w:space="0" w:color="auto"/>
        <w:left w:val="none" w:sz="0" w:space="0" w:color="auto"/>
        <w:bottom w:val="none" w:sz="0" w:space="0" w:color="auto"/>
        <w:right w:val="none" w:sz="0" w:space="0" w:color="auto"/>
      </w:divBdr>
    </w:div>
    <w:div w:id="552278360">
      <w:bodyDiv w:val="1"/>
      <w:marLeft w:val="0"/>
      <w:marRight w:val="0"/>
      <w:marTop w:val="0"/>
      <w:marBottom w:val="0"/>
      <w:divBdr>
        <w:top w:val="none" w:sz="0" w:space="0" w:color="auto"/>
        <w:left w:val="none" w:sz="0" w:space="0" w:color="auto"/>
        <w:bottom w:val="none" w:sz="0" w:space="0" w:color="auto"/>
        <w:right w:val="none" w:sz="0" w:space="0" w:color="auto"/>
      </w:divBdr>
    </w:div>
    <w:div w:id="1063333895">
      <w:bodyDiv w:val="1"/>
      <w:marLeft w:val="0"/>
      <w:marRight w:val="0"/>
      <w:marTop w:val="0"/>
      <w:marBottom w:val="0"/>
      <w:divBdr>
        <w:top w:val="none" w:sz="0" w:space="0" w:color="auto"/>
        <w:left w:val="none" w:sz="0" w:space="0" w:color="auto"/>
        <w:bottom w:val="none" w:sz="0" w:space="0" w:color="auto"/>
        <w:right w:val="none" w:sz="0" w:space="0" w:color="auto"/>
      </w:divBdr>
    </w:div>
    <w:div w:id="1386027482">
      <w:bodyDiv w:val="1"/>
      <w:marLeft w:val="0"/>
      <w:marRight w:val="0"/>
      <w:marTop w:val="0"/>
      <w:marBottom w:val="0"/>
      <w:divBdr>
        <w:top w:val="none" w:sz="0" w:space="0" w:color="auto"/>
        <w:left w:val="none" w:sz="0" w:space="0" w:color="auto"/>
        <w:bottom w:val="none" w:sz="0" w:space="0" w:color="auto"/>
        <w:right w:val="none" w:sz="0" w:space="0" w:color="auto"/>
      </w:divBdr>
    </w:div>
    <w:div w:id="2076538475">
      <w:bodyDiv w:val="1"/>
      <w:marLeft w:val="0"/>
      <w:marRight w:val="0"/>
      <w:marTop w:val="0"/>
      <w:marBottom w:val="0"/>
      <w:divBdr>
        <w:top w:val="none" w:sz="0" w:space="0" w:color="auto"/>
        <w:left w:val="none" w:sz="0" w:space="0" w:color="auto"/>
        <w:bottom w:val="none" w:sz="0" w:space="0" w:color="auto"/>
        <w:right w:val="none" w:sz="0" w:space="0" w:color="auto"/>
      </w:divBdr>
    </w:div>
    <w:div w:id="21142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507760A6AA64FBB74A8839732F6E4" ma:contentTypeVersion="6" ma:contentTypeDescription="Create a new document." ma:contentTypeScope="" ma:versionID="046b8518085ee1bd23819a5748e0c975">
  <xsd:schema xmlns:xsd="http://www.w3.org/2001/XMLSchema" xmlns:xs="http://www.w3.org/2001/XMLSchema" xmlns:p="http://schemas.microsoft.com/office/2006/metadata/properties" xmlns:ns2="a2aba84a-5243-4655-85a0-28393f8c71fe" xmlns:ns3="0690cd32-43b1-4c04-bd78-98652a6db61d" targetNamespace="http://schemas.microsoft.com/office/2006/metadata/properties" ma:root="true" ma:fieldsID="590bc0954f840e241ef48ff88e143cf2" ns2:_="" ns3:_="">
    <xsd:import namespace="a2aba84a-5243-4655-85a0-28393f8c71fe"/>
    <xsd:import namespace="0690cd32-43b1-4c04-bd78-98652a6db6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ba84a-5243-4655-85a0-28393f8c7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cd32-43b1-4c04-bd78-98652a6db6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DA8B1-CA1B-4949-8A0E-7E0955C3E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ba84a-5243-4655-85a0-28393f8c71fe"/>
    <ds:schemaRef ds:uri="0690cd32-43b1-4c04-bd78-98652a6db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A0C2C-9879-4D7B-AF30-83A46D8AB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7F4CD5-B337-4F93-A85D-D2A0C4F80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573</Words>
  <Characters>3248</Characters>
  <Application>Microsoft Office Word</Application>
  <DocSecurity>0</DocSecurity>
  <Lines>62</Lines>
  <Paragraphs>24</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Desley Rogers</dc:creator>
  <cp:keywords>[SEC=OFFICIAL]</cp:keywords>
  <dc:description/>
  <cp:lastModifiedBy>Gordon Burns</cp:lastModifiedBy>
  <cp:revision>8</cp:revision>
  <dcterms:created xsi:type="dcterms:W3CDTF">2025-03-06T16:12:00Z</dcterms:created>
  <dcterms:modified xsi:type="dcterms:W3CDTF">2025-03-06T16:16:00Z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v=2022.1;a=SHA256;h=77D2EBDBECB32CBCD8766917C8185D14A44A44002BAD940658251DB303304C96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2025-02-13T23:09:03Z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A6CC584482A49E26DE7DB0A231206A118E0A5F40</vt:lpwstr>
  </property>
  <property fmtid="{D5CDD505-2E9C-101B-9397-08002B2CF9AE}" pid="14" name="PM_DisplayValueSecClassificationWithQualifier">
    <vt:lpwstr>OFFICIAL</vt:lpwstr>
  </property>
  <property fmtid="{D5CDD505-2E9C-101B-9397-08002B2CF9AE}" pid="15" name="PM_Originating_FileId">
    <vt:lpwstr>6518626162F6405B89D3CEC4F97C39B8</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E3F3BBAC535EF639634D2CFCAE9661E26DDDEF61125E3743412F5A180BCFE753</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36CFD755006BE474083731521FC57968</vt:lpwstr>
  </property>
  <property fmtid="{D5CDD505-2E9C-101B-9397-08002B2CF9AE}" pid="25" name="PM_Hash_Salt">
    <vt:lpwstr>D577DB09234E6AFC705930B086FFD75A</vt:lpwstr>
  </property>
  <property fmtid="{D5CDD505-2E9C-101B-9397-08002B2CF9AE}" pid="26" name="PM_Hash_SHA1">
    <vt:lpwstr>D449D7C9135518F1B0705FDB2EE6FFCC4886D904</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0x010100562507760A6AA64FBB74A8839732F6E4</vt:lpwstr>
  </property>
</Properties>
</file>