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7180" w14:textId="0F09A51B" w:rsidR="001A0CD9" w:rsidRDefault="001A0CD9" w:rsidP="001A0CD9">
      <w:pPr>
        <w:jc w:val="center"/>
        <w:rPr>
          <w:rFonts w:asciiTheme="majorBidi" w:hAnsiTheme="majorBidi" w:cstheme="majorBidi"/>
          <w:b/>
          <w:bCs/>
        </w:rPr>
      </w:pPr>
      <w:r w:rsidRPr="001540AB">
        <w:rPr>
          <w:rFonts w:asciiTheme="majorBidi" w:hAnsiTheme="majorBidi" w:cstheme="majorBidi"/>
          <w:b/>
          <w:bCs/>
        </w:rPr>
        <w:t>Statement on Behalf of the OIC member</w:t>
      </w:r>
      <w:r w:rsidR="001540AB" w:rsidRPr="001540AB">
        <w:rPr>
          <w:rFonts w:asciiTheme="majorBidi" w:hAnsiTheme="majorBidi" w:cstheme="majorBidi"/>
          <w:b/>
          <w:bCs/>
        </w:rPr>
        <w:t xml:space="preserve"> states at the 10</w:t>
      </w:r>
      <w:r w:rsidR="001540AB" w:rsidRPr="001540AB">
        <w:rPr>
          <w:rFonts w:asciiTheme="majorBidi" w:hAnsiTheme="majorBidi" w:cstheme="majorBidi"/>
          <w:b/>
          <w:bCs/>
          <w:vertAlign w:val="superscript"/>
        </w:rPr>
        <w:t>th</w:t>
      </w:r>
      <w:r w:rsidR="001540AB" w:rsidRPr="001540AB">
        <w:rPr>
          <w:rFonts w:asciiTheme="majorBidi" w:hAnsiTheme="majorBidi" w:cstheme="majorBidi"/>
          <w:b/>
          <w:bCs/>
        </w:rPr>
        <w:t xml:space="preserve"> Conference of States Parties of the Arms Trade Treaty – 19 August 2024</w:t>
      </w:r>
    </w:p>
    <w:p w14:paraId="201F18A4" w14:textId="77777777" w:rsidR="001540AB" w:rsidRPr="001540AB" w:rsidRDefault="001540AB" w:rsidP="001A0CD9">
      <w:pPr>
        <w:jc w:val="center"/>
        <w:rPr>
          <w:rFonts w:asciiTheme="majorBidi" w:hAnsiTheme="majorBidi" w:cstheme="majorBidi"/>
          <w:b/>
          <w:bCs/>
        </w:rPr>
      </w:pPr>
    </w:p>
    <w:p w14:paraId="3BF6F798" w14:textId="77777777" w:rsidR="001A0CD9" w:rsidRPr="001540AB" w:rsidRDefault="001A0CD9" w:rsidP="001A0CD9">
      <w:pPr>
        <w:jc w:val="center"/>
        <w:rPr>
          <w:rFonts w:asciiTheme="majorBidi" w:hAnsiTheme="majorBidi" w:cstheme="majorBidi"/>
          <w:b/>
          <w:bCs/>
        </w:rPr>
      </w:pPr>
      <w:r w:rsidRPr="001540AB">
        <w:rPr>
          <w:rFonts w:asciiTheme="majorBidi" w:hAnsiTheme="majorBidi" w:cstheme="majorBidi"/>
          <w:b/>
          <w:bCs/>
        </w:rPr>
        <w:t>General Debate</w:t>
      </w:r>
    </w:p>
    <w:p w14:paraId="0C854FA0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</w:p>
    <w:p w14:paraId="714C5E0D" w14:textId="732BFCCF" w:rsidR="005C4CCE" w:rsidRPr="00115A74" w:rsidRDefault="001A0CD9" w:rsidP="005C4CCE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 xml:space="preserve">The OIC members express their deep concern that many </w:t>
      </w:r>
      <w:r w:rsidR="001540AB" w:rsidRPr="00115A74">
        <w:rPr>
          <w:rFonts w:asciiTheme="majorBidi" w:hAnsiTheme="majorBidi" w:cstheme="majorBidi"/>
        </w:rPr>
        <w:t xml:space="preserve">Arms Trade Treaty </w:t>
      </w:r>
      <w:r w:rsidR="001540AB">
        <w:rPr>
          <w:rFonts w:asciiTheme="majorBidi" w:hAnsiTheme="majorBidi" w:cstheme="majorBidi"/>
        </w:rPr>
        <w:t>(</w:t>
      </w:r>
      <w:r w:rsidRPr="00115A74">
        <w:rPr>
          <w:rFonts w:asciiTheme="majorBidi" w:hAnsiTheme="majorBidi" w:cstheme="majorBidi"/>
        </w:rPr>
        <w:t>ATT</w:t>
      </w:r>
      <w:r w:rsidR="001540AB">
        <w:rPr>
          <w:rFonts w:asciiTheme="majorBidi" w:hAnsiTheme="majorBidi" w:cstheme="majorBidi"/>
        </w:rPr>
        <w:t>)</w:t>
      </w:r>
      <w:r w:rsidRPr="00115A74">
        <w:rPr>
          <w:rFonts w:asciiTheme="majorBidi" w:hAnsiTheme="majorBidi" w:cstheme="majorBidi"/>
        </w:rPr>
        <w:t xml:space="preserve"> States parties continue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their irresponsible trade of conventional arms and related materials to Israel, the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occupying power, as it continues its</w:t>
      </w:r>
      <w:r w:rsidR="005C4CCE">
        <w:rPr>
          <w:rFonts w:asciiTheme="majorBidi" w:hAnsiTheme="majorBidi" w:cstheme="majorBidi"/>
        </w:rPr>
        <w:t xml:space="preserve"> illegal occupation of Palestine, including its</w:t>
      </w:r>
      <w:r w:rsidRPr="00115A74">
        <w:rPr>
          <w:rFonts w:asciiTheme="majorBidi" w:hAnsiTheme="majorBidi" w:cstheme="majorBidi"/>
        </w:rPr>
        <w:t xml:space="preserve"> genocidal acts in Gaza.</w:t>
      </w:r>
    </w:p>
    <w:p w14:paraId="19C10A04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</w:p>
    <w:p w14:paraId="1DAA0782" w14:textId="4AEC9B1E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>This disproportionate and indiscriminate attacks in Gaza are a grave violation of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international law, especially</w:t>
      </w:r>
      <w:r w:rsidR="001540AB">
        <w:rPr>
          <w:rFonts w:asciiTheme="majorBidi" w:hAnsiTheme="majorBidi" w:cstheme="majorBidi"/>
        </w:rPr>
        <w:t xml:space="preserve"> international humanitarian law</w:t>
      </w:r>
      <w:r w:rsidRPr="00115A74">
        <w:rPr>
          <w:rFonts w:asciiTheme="majorBidi" w:hAnsiTheme="majorBidi" w:cstheme="majorBidi"/>
        </w:rPr>
        <w:t xml:space="preserve"> </w:t>
      </w:r>
      <w:r w:rsidR="001540AB">
        <w:rPr>
          <w:rFonts w:asciiTheme="majorBidi" w:hAnsiTheme="majorBidi" w:cstheme="majorBidi"/>
        </w:rPr>
        <w:t>(</w:t>
      </w:r>
      <w:r w:rsidRPr="00115A74">
        <w:rPr>
          <w:rFonts w:asciiTheme="majorBidi" w:hAnsiTheme="majorBidi" w:cstheme="majorBidi"/>
        </w:rPr>
        <w:t>IHL</w:t>
      </w:r>
      <w:r w:rsidR="001540AB">
        <w:rPr>
          <w:rFonts w:asciiTheme="majorBidi" w:hAnsiTheme="majorBidi" w:cstheme="majorBidi"/>
        </w:rPr>
        <w:t>)</w:t>
      </w:r>
      <w:r w:rsidRPr="00115A74">
        <w:rPr>
          <w:rFonts w:asciiTheme="majorBidi" w:hAnsiTheme="majorBidi" w:cstheme="majorBidi"/>
        </w:rPr>
        <w:t xml:space="preserve"> and international human rights law.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The bombardment of densely populated areas, including the widespread destruction of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homes, schools, hospitals, refugee camps and critical civilian infrastructure in a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continuous fashion, conforms a flagrant disregard for the principles of proportionality,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 xml:space="preserve">military necessity and distinction outlined in </w:t>
      </w:r>
      <w:r w:rsidR="001540AB">
        <w:rPr>
          <w:rFonts w:asciiTheme="majorBidi" w:hAnsiTheme="majorBidi" w:cstheme="majorBidi"/>
        </w:rPr>
        <w:t>IHL</w:t>
      </w:r>
      <w:r w:rsidRPr="00115A74">
        <w:rPr>
          <w:rFonts w:asciiTheme="majorBidi" w:hAnsiTheme="majorBidi" w:cstheme="majorBidi"/>
        </w:rPr>
        <w:t>.</w:t>
      </w:r>
    </w:p>
    <w:p w14:paraId="1EEEC7B7" w14:textId="77777777" w:rsidR="001A0CD9" w:rsidRDefault="001A0CD9" w:rsidP="001A0CD9">
      <w:pPr>
        <w:jc w:val="lowKashida"/>
        <w:rPr>
          <w:rFonts w:asciiTheme="majorBidi" w:hAnsiTheme="majorBidi" w:cstheme="majorBidi"/>
        </w:rPr>
      </w:pPr>
    </w:p>
    <w:p w14:paraId="497087E1" w14:textId="08FF7EB4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>The loss of innocent civilian lives, including women and children at this scale, is utterly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deplorable and cannot be justified under any circumstances.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 xml:space="preserve">We are also disturbed by reports that Palestinian </w:t>
      </w:r>
      <w:r w:rsidR="003C7C38">
        <w:rPr>
          <w:rFonts w:asciiTheme="majorBidi" w:hAnsiTheme="majorBidi" w:cstheme="majorBidi"/>
        </w:rPr>
        <w:t xml:space="preserve">people including </w:t>
      </w:r>
      <w:r w:rsidRPr="00115A74">
        <w:rPr>
          <w:rFonts w:asciiTheme="majorBidi" w:hAnsiTheme="majorBidi" w:cstheme="majorBidi"/>
        </w:rPr>
        <w:t>women and girls in detention have been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subjected to multiple forms of sexual assault.</w:t>
      </w:r>
    </w:p>
    <w:p w14:paraId="7D1998C1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</w:p>
    <w:p w14:paraId="5A061208" w14:textId="6C02BE75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>Moreover, according to Article 6 of the ATT, State Parties shall not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authorize any arms transfer (including export, import and transit) “if [they have]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knowledge at the time of authorization that the arms or items would be used in the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commission of genocide, crimes against humanity, grave breaches of the Geneva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Conventions of 1949, attacks directed against civilian objects or civilians protected as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such, or other war crimes”.</w:t>
      </w:r>
    </w:p>
    <w:p w14:paraId="35EEA8BB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</w:p>
    <w:p w14:paraId="1FCBD006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>Article 7 of the ATT unequivocally prohibits the transfer of conventional arms and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related material when there is a substantial risk that they may be used to commit or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facilitate serious violations of international humanitarian law and human rights law.</w:t>
      </w:r>
    </w:p>
    <w:p w14:paraId="68F83198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</w:p>
    <w:p w14:paraId="149395FF" w14:textId="7EF0BB20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>The International Court of Justice</w:t>
      </w:r>
      <w:r w:rsidR="001540AB">
        <w:rPr>
          <w:rFonts w:asciiTheme="majorBidi" w:hAnsiTheme="majorBidi" w:cstheme="majorBidi"/>
        </w:rPr>
        <w:t xml:space="preserve"> (ICJ)</w:t>
      </w:r>
      <w:r w:rsidRPr="00115A74">
        <w:rPr>
          <w:rFonts w:asciiTheme="majorBidi" w:hAnsiTheme="majorBidi" w:cstheme="majorBidi"/>
        </w:rPr>
        <w:t xml:space="preserve"> formally ruled that Israel is “plausibly” committing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genocide in Gaza and issued provisional measures in the case South Africa v. Israel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ordering Israel to take “all measures within its power”, to prevent acts that could amount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to genocide against Palestinians in Gaza. Instead of acting accordingly, Israel intensified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its military operations in Gaza. The ICJ ruling of 26 January</w:t>
      </w:r>
      <w:r w:rsidR="003D65E0">
        <w:rPr>
          <w:rFonts w:asciiTheme="majorBidi" w:hAnsiTheme="majorBidi" w:cstheme="majorBidi"/>
        </w:rPr>
        <w:t xml:space="preserve"> 2024</w:t>
      </w:r>
      <w:r w:rsidRPr="00115A74">
        <w:rPr>
          <w:rFonts w:asciiTheme="majorBidi" w:hAnsiTheme="majorBidi" w:cstheme="majorBidi"/>
        </w:rPr>
        <w:t xml:space="preserve"> is binding and must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 xml:space="preserve">be implemented in full. </w:t>
      </w:r>
      <w:r w:rsidR="0065383D">
        <w:rPr>
          <w:rFonts w:asciiTheme="majorBidi" w:hAnsiTheme="majorBidi" w:cstheme="majorBidi"/>
        </w:rPr>
        <w:t>I</w:t>
      </w:r>
      <w:r w:rsidRPr="00115A74">
        <w:rPr>
          <w:rFonts w:asciiTheme="majorBidi" w:hAnsiTheme="majorBidi" w:cstheme="majorBidi"/>
        </w:rPr>
        <w:t>mplementation of ICJ provisional measures is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mandatory under Article 41 of the ICJ Statute.</w:t>
      </w:r>
    </w:p>
    <w:p w14:paraId="7CEE2230" w14:textId="77777777" w:rsidR="001A0CD9" w:rsidRPr="00115A74" w:rsidRDefault="001A0CD9" w:rsidP="001A0CD9">
      <w:pPr>
        <w:jc w:val="lowKashida"/>
        <w:rPr>
          <w:rFonts w:asciiTheme="majorBidi" w:hAnsiTheme="majorBidi" w:cstheme="majorBidi"/>
        </w:rPr>
      </w:pPr>
    </w:p>
    <w:p w14:paraId="08C72A07" w14:textId="28878CE9" w:rsidR="005C4CCE" w:rsidRPr="001540AB" w:rsidRDefault="001A0CD9" w:rsidP="001540AB">
      <w:pPr>
        <w:jc w:val="lowKashida"/>
        <w:rPr>
          <w:rFonts w:asciiTheme="majorBidi" w:hAnsiTheme="majorBidi" w:cstheme="majorBidi"/>
        </w:rPr>
      </w:pPr>
      <w:r w:rsidRPr="00115A74">
        <w:rPr>
          <w:rFonts w:asciiTheme="majorBidi" w:hAnsiTheme="majorBidi" w:cstheme="majorBidi"/>
        </w:rPr>
        <w:t>Yet a number of ATT States Parties and Signatories continue to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 xml:space="preserve">export arms to Israel. Double standards and lack of compliance with the ATT hinder its </w:t>
      </w:r>
      <w:proofErr w:type="spellStart"/>
      <w:r w:rsidRPr="00115A74">
        <w:rPr>
          <w:rFonts w:asciiTheme="majorBidi" w:hAnsiTheme="majorBidi" w:cstheme="majorBidi"/>
        </w:rPr>
        <w:t>universalisation</w:t>
      </w:r>
      <w:proofErr w:type="spellEnd"/>
      <w:r w:rsidRPr="00115A74">
        <w:rPr>
          <w:rFonts w:asciiTheme="majorBidi" w:hAnsiTheme="majorBidi" w:cstheme="majorBidi"/>
        </w:rPr>
        <w:t xml:space="preserve">. We call upon those states to act responsibly, by suspending all </w:t>
      </w:r>
      <w:r w:rsidR="001540AB" w:rsidRPr="00115A74">
        <w:rPr>
          <w:rFonts w:asciiTheme="majorBidi" w:hAnsiTheme="majorBidi" w:cstheme="majorBidi"/>
        </w:rPr>
        <w:t>licenses</w:t>
      </w:r>
      <w:r>
        <w:rPr>
          <w:rFonts w:asciiTheme="majorBidi" w:hAnsiTheme="majorBidi" w:cstheme="majorBidi"/>
        </w:rPr>
        <w:t xml:space="preserve"> </w:t>
      </w:r>
      <w:r w:rsidRPr="00115A74">
        <w:rPr>
          <w:rFonts w:asciiTheme="majorBidi" w:hAnsiTheme="majorBidi" w:cstheme="majorBidi"/>
        </w:rPr>
        <w:t>immediately, to avoid further complicity in the commission of international crimes.</w:t>
      </w:r>
    </w:p>
    <w:p w14:paraId="5BA40A09" w14:textId="09114919" w:rsidR="005C4CCE" w:rsidRPr="001A7B51" w:rsidRDefault="005C4CCE" w:rsidP="001A7B51">
      <w:pPr>
        <w:pStyle w:val="NormalWeb"/>
        <w:jc w:val="both"/>
      </w:pPr>
      <w:r w:rsidRPr="005C4CCE">
        <w:t xml:space="preserve">We reiterate the findings of the </w:t>
      </w:r>
      <w:r w:rsidR="001540AB">
        <w:t>ICJ</w:t>
      </w:r>
      <w:r w:rsidRPr="005C4CCE">
        <w:t xml:space="preserve"> in its Advisory Opinion </w:t>
      </w:r>
      <w:r w:rsidR="001540AB">
        <w:t>o</w:t>
      </w:r>
      <w:r w:rsidRPr="005C4CCE">
        <w:t>n 19 July</w:t>
      </w:r>
      <w:r w:rsidR="003D65E0">
        <w:t xml:space="preserve"> 2024</w:t>
      </w:r>
      <w:r w:rsidRPr="005C4CCE">
        <w:t xml:space="preserve"> in respect of the Legal Consequences arising from the Policies and Practices of </w:t>
      </w:r>
      <w:r>
        <w:t>Israeli occupation in occupied Palestine</w:t>
      </w:r>
      <w:r w:rsidR="001540AB">
        <w:t xml:space="preserve">. </w:t>
      </w:r>
      <w:r w:rsidRPr="005C4CCE">
        <w:lastRenderedPageBreak/>
        <w:t>The right of self-determination requires that UN Member States bring Israel’s occupation to an immediate end. No aid. No</w:t>
      </w:r>
      <w:r>
        <w:t xml:space="preserve"> </w:t>
      </w:r>
      <w:r w:rsidRPr="005C4CCE">
        <w:t xml:space="preserve">assistance. No complicity. No contribution to forcible actions. </w:t>
      </w:r>
      <w:r w:rsidR="001540AB">
        <w:t>i</w:t>
      </w:r>
      <w:r w:rsidRPr="005C4CCE">
        <w:t>ncluding,</w:t>
      </w:r>
      <w:r w:rsidR="001540AB">
        <w:t xml:space="preserve"> </w:t>
      </w:r>
      <w:r w:rsidRPr="005C4CCE">
        <w:t xml:space="preserve">no arms trade. </w:t>
      </w:r>
      <w:r w:rsidR="001540AB">
        <w:t>All</w:t>
      </w:r>
      <w:r w:rsidRPr="005C4CCE">
        <w:t xml:space="preserve"> states are under obligation to restore legality by putting an end to arms trade to</w:t>
      </w:r>
      <w:r w:rsidR="00FE7A9A">
        <w:t xml:space="preserve"> the </w:t>
      </w:r>
      <w:r w:rsidRPr="005C4CCE">
        <w:t>illegal occupier.</w:t>
      </w:r>
    </w:p>
    <w:p w14:paraId="3F21DDA7" w14:textId="77777777" w:rsidR="005C4CCE" w:rsidRDefault="005C4CCE" w:rsidP="005C4CCE">
      <w:pPr>
        <w:pStyle w:val="NormalWeb"/>
        <w:jc w:val="both"/>
      </w:pPr>
      <w:r>
        <w:t>As we reflect on the past ten years, let us remember that the ATT was born out of a collective desire to protect human life and dignity. It is a testament to our shared commitment to a world where peace and justice prevail. But this vision can only be realized if we translate words into action.</w:t>
      </w:r>
    </w:p>
    <w:p w14:paraId="1141161B" w14:textId="77777777" w:rsidR="005C4CCE" w:rsidRPr="005C4CCE" w:rsidRDefault="005C4CCE" w:rsidP="001A0CD9">
      <w:pPr>
        <w:jc w:val="lowKashida"/>
        <w:rPr>
          <w:rFonts w:asciiTheme="majorBidi" w:hAnsiTheme="majorBidi" w:cstheme="majorBidi"/>
        </w:rPr>
      </w:pPr>
    </w:p>
    <w:p w14:paraId="08F9B366" w14:textId="77777777" w:rsidR="00CF2FB3" w:rsidRDefault="00CF2FB3"/>
    <w:sectPr w:rsidR="00CF2F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D9"/>
    <w:rsid w:val="00025E4B"/>
    <w:rsid w:val="001540AB"/>
    <w:rsid w:val="001A0CD9"/>
    <w:rsid w:val="001A7B51"/>
    <w:rsid w:val="003C7C38"/>
    <w:rsid w:val="003D65E0"/>
    <w:rsid w:val="0056164E"/>
    <w:rsid w:val="00583CF1"/>
    <w:rsid w:val="005C4CCE"/>
    <w:rsid w:val="0065383D"/>
    <w:rsid w:val="00782ECB"/>
    <w:rsid w:val="0098335D"/>
    <w:rsid w:val="00C95851"/>
    <w:rsid w:val="00CF2FB3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09B56"/>
  <w15:chartTrackingRefBased/>
  <w15:docId w15:val="{37DEFE9A-0C62-2C48-A83C-938D82C1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CD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4C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Umair Khalid</cp:lastModifiedBy>
  <cp:revision>2</cp:revision>
  <dcterms:created xsi:type="dcterms:W3CDTF">2024-08-14T13:27:00Z</dcterms:created>
  <dcterms:modified xsi:type="dcterms:W3CDTF">2024-08-14T13:27:00Z</dcterms:modified>
</cp:coreProperties>
</file>