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5641F" w14:textId="71DF50E5" w:rsidR="006D4510" w:rsidRPr="0066462A" w:rsidRDefault="006D4510" w:rsidP="00D55D4D">
      <w:pPr>
        <w:jc w:val="both"/>
        <w:rPr>
          <w:rFonts w:ascii="Arial" w:eastAsia="Times New Roman" w:hAnsi="Arial" w:cs="Arial"/>
          <w:b/>
          <w:bCs/>
          <w:color w:val="000000"/>
          <w:kern w:val="0"/>
          <w:sz w:val="28"/>
          <w:szCs w:val="28"/>
          <w14:ligatures w14:val="none"/>
        </w:rPr>
      </w:pPr>
      <w:r w:rsidRPr="0066462A">
        <w:rPr>
          <w:rFonts w:ascii="Arial" w:eastAsia="Times New Roman" w:hAnsi="Arial" w:cs="Arial"/>
          <w:b/>
          <w:bCs/>
          <w:color w:val="000000"/>
          <w:kern w:val="0"/>
          <w:sz w:val="28"/>
          <w:szCs w:val="28"/>
          <w14:ligatures w14:val="none"/>
        </w:rPr>
        <w:t>10th Conference of States Parties to the Arms Trade Treaty</w:t>
      </w:r>
    </w:p>
    <w:p w14:paraId="50B8EBB4" w14:textId="04AED56D" w:rsidR="006D4510" w:rsidRPr="0066462A" w:rsidRDefault="006D4510" w:rsidP="00D55D4D">
      <w:pPr>
        <w:jc w:val="both"/>
        <w:rPr>
          <w:rFonts w:ascii="Arial" w:eastAsia="Times New Roman" w:hAnsi="Arial" w:cs="Arial"/>
          <w:b/>
          <w:bCs/>
          <w:color w:val="000000"/>
          <w:kern w:val="0"/>
          <w:sz w:val="28"/>
          <w:szCs w:val="28"/>
          <w14:ligatures w14:val="none"/>
        </w:rPr>
      </w:pPr>
      <w:r w:rsidRPr="0066462A">
        <w:rPr>
          <w:rFonts w:ascii="Arial" w:eastAsia="Times New Roman" w:hAnsi="Arial" w:cs="Arial"/>
          <w:b/>
          <w:bCs/>
          <w:color w:val="000000"/>
          <w:kern w:val="0"/>
          <w:sz w:val="28"/>
          <w:szCs w:val="28"/>
          <w14:ligatures w14:val="none"/>
        </w:rPr>
        <w:t>August 19th, 2024, 10 a.m.</w:t>
      </w:r>
    </w:p>
    <w:p w14:paraId="61373AB2" w14:textId="2EAB8326" w:rsidR="006D4510" w:rsidRPr="0066462A" w:rsidRDefault="005B0985" w:rsidP="00D55D4D">
      <w:pPr>
        <w:jc w:val="both"/>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 xml:space="preserve">General </w:t>
      </w:r>
      <w:r w:rsidR="006D4510" w:rsidRPr="0066462A">
        <w:rPr>
          <w:rFonts w:ascii="Arial" w:eastAsia="Times New Roman" w:hAnsi="Arial" w:cs="Arial"/>
          <w:b/>
          <w:bCs/>
          <w:color w:val="000000"/>
          <w:kern w:val="0"/>
          <w:sz w:val="28"/>
          <w:szCs w:val="28"/>
          <w14:ligatures w14:val="none"/>
        </w:rPr>
        <w:t>Statements by International and Regional Organizations</w:t>
      </w:r>
    </w:p>
    <w:p w14:paraId="00A4852E" w14:textId="77777777" w:rsidR="006D4510" w:rsidRPr="0066462A" w:rsidRDefault="006D4510" w:rsidP="00D55D4D">
      <w:pPr>
        <w:jc w:val="both"/>
        <w:rPr>
          <w:rFonts w:ascii="Arial" w:eastAsia="Times New Roman" w:hAnsi="Arial" w:cs="Arial"/>
          <w:b/>
          <w:bCs/>
          <w:color w:val="000000"/>
          <w:kern w:val="0"/>
          <w:sz w:val="28"/>
          <w:szCs w:val="28"/>
          <w14:ligatures w14:val="none"/>
        </w:rPr>
      </w:pPr>
    </w:p>
    <w:p w14:paraId="1ED3A47E" w14:textId="0953E851" w:rsidR="006D4510" w:rsidRPr="0066462A" w:rsidRDefault="006D4510" w:rsidP="00D55D4D">
      <w:pPr>
        <w:jc w:val="both"/>
        <w:rPr>
          <w:rFonts w:ascii="Arial" w:eastAsia="Times New Roman" w:hAnsi="Arial" w:cs="Arial"/>
          <w:b/>
          <w:bCs/>
          <w:color w:val="000000"/>
          <w:kern w:val="0"/>
          <w:sz w:val="28"/>
          <w:szCs w:val="28"/>
          <w14:ligatures w14:val="none"/>
        </w:rPr>
      </w:pPr>
      <w:r w:rsidRPr="0066462A">
        <w:rPr>
          <w:rFonts w:ascii="Arial" w:eastAsia="Times New Roman" w:hAnsi="Arial" w:cs="Arial"/>
          <w:b/>
          <w:bCs/>
          <w:color w:val="000000"/>
          <w:kern w:val="0"/>
          <w:sz w:val="28"/>
          <w:szCs w:val="28"/>
          <w14:ligatures w14:val="none"/>
        </w:rPr>
        <w:t>Remarks – Secretary for Multidimensional Security of the OAS, Ivan Marques</w:t>
      </w:r>
    </w:p>
    <w:p w14:paraId="5528F1C3" w14:textId="77777777" w:rsidR="006D4510" w:rsidRPr="0066462A" w:rsidRDefault="006D4510" w:rsidP="00D55D4D">
      <w:pPr>
        <w:jc w:val="both"/>
        <w:rPr>
          <w:rFonts w:ascii="Arial" w:eastAsia="Times New Roman" w:hAnsi="Arial" w:cs="Arial"/>
          <w:color w:val="000000"/>
          <w:kern w:val="0"/>
          <w:sz w:val="28"/>
          <w:szCs w:val="28"/>
          <w14:ligatures w14:val="none"/>
        </w:rPr>
      </w:pPr>
    </w:p>
    <w:p w14:paraId="6488B4B1" w14:textId="6800A322" w:rsidR="00986BAB" w:rsidRPr="005B0985" w:rsidRDefault="006D4510" w:rsidP="00986BAB">
      <w:pPr>
        <w:jc w:val="both"/>
        <w:rPr>
          <w:rFonts w:ascii="Arial" w:eastAsia="Times New Roman" w:hAnsi="Arial" w:cs="Arial"/>
          <w:color w:val="000000"/>
          <w:kern w:val="0"/>
          <w:sz w:val="28"/>
          <w:szCs w:val="28"/>
          <w14:ligatures w14:val="none"/>
        </w:rPr>
      </w:pPr>
      <w:r w:rsidRPr="0066462A">
        <w:rPr>
          <w:rFonts w:ascii="Arial" w:eastAsia="Times New Roman" w:hAnsi="Arial" w:cs="Arial"/>
          <w:color w:val="000000"/>
          <w:kern w:val="0"/>
          <w:sz w:val="28"/>
          <w:szCs w:val="28"/>
          <w14:ligatures w14:val="none"/>
        </w:rPr>
        <w:t>Thank you, Mr. Chair,</w:t>
      </w:r>
    </w:p>
    <w:p w14:paraId="6B88DFF0"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On behalf of the General Secretariat of the Organization of American States (OAS), it is a great pleasure to participate in this 10th Conference of States Parties to the Arms Trade Treaty (ATT). Unless the conference’s record proves me wrong, this marks the first time the OAS has joined this esteemed forum—a milestone that I hope will usher in a long-standing and productive collaboration with this assembly and the broader ATT community to mitigate the human suffering caused by armed violence.</w:t>
      </w:r>
    </w:p>
    <w:p w14:paraId="7D03DAC4"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p>
    <w:p w14:paraId="17EC96A7"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Today, it is my privilege to address an issue of critical importance: the role of regional and international organizations in tackling the diversion and illicit trafficking of conventional weapons. In an increasingly interconnected world, the proliferation of these weapons poses a grave threat to global peace, security, and development. Addressing this challenge requires a comprehensive and coordinated approach that harnesses the strengths of both national and international efforts.</w:t>
      </w:r>
    </w:p>
    <w:p w14:paraId="6A5C4B79"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p>
    <w:p w14:paraId="71C853BF"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 xml:space="preserve">Over the past two years, the OAS Secretariat for Multidimensional Security has redoubled its efforts to reduce violence by preventing and controlling the proliferation of arms, ammunition, and explosives. Central to this effort is the OAS initiative entitled the "Program of Assistance for Control of Arms and Munition" (PACAM). This program focuses on strengthening the capacities of member states to control unauthorized access to arms and ammunition, in line with the obligations of the Inter-American Convention against the Illicit Manufacturing of and Trafficking in Firearms, Ammunition, Explosives, and </w:t>
      </w:r>
      <w:r w:rsidRPr="00986BAB">
        <w:rPr>
          <w:rFonts w:ascii="Arial" w:eastAsia="Times New Roman" w:hAnsi="Arial" w:cs="Arial"/>
          <w:color w:val="000000"/>
          <w:kern w:val="0"/>
          <w:sz w:val="28"/>
          <w:szCs w:val="28"/>
          <w:lang w:val="en-BR"/>
          <w14:ligatures w14:val="none"/>
        </w:rPr>
        <w:lastRenderedPageBreak/>
        <w:t>other Related Materials. The provisions of this convention are not only complementary but also mutually reinforcing with international instruments such as the Arms Trade Treaty (ATT), the Firearms Protocol, the UN PoA, and the 2030 Sustainable Development Agenda.</w:t>
      </w:r>
    </w:p>
    <w:p w14:paraId="2D41AAB8"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p>
    <w:p w14:paraId="4B3F10B6"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In this spirit, OAS Member States, in collaboration with the Secretariat for Multidimensional Security, have actively engaged in the operationalization of Article IX of the Convention, which focuses on implementing effective international transfer control systems. A significant achievement in this regard is the agreement on a voluntary regional information-sharing mechanism known as MCTA, in its Spanish acronym. This initiative allows states to notify each other about firearms licenses or authorizations granted, as well as shipments released and received.</w:t>
      </w:r>
    </w:p>
    <w:p w14:paraId="4D70F4FA"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p>
    <w:p w14:paraId="0172F304"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The MCTA is more than just another initiative; it represents a milestone. It will be the first mechanism in the Americas for prior notifications on firearms transfers, significantly enhancing our collective ability to combat illicit trafficking in one of the regions most affected by armed violence.</w:t>
      </w:r>
    </w:p>
    <w:p w14:paraId="31E18BEA"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p>
    <w:p w14:paraId="34C150F9"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Today, I am also honored to announce the launch of the OAS digital licensing platform for authorized import, export, and transit licenses of firearms and ammunition, known as the SNL. This web-based software, designed for national authorities, enables the registration of applications, management of procedural statuses, and the maintenance of records of authorized shipments. The platform aims to integrate existing national databases into a single, efficient system that facilitates electronic archiving, automated data reporting, and information exchange among national entities responsible for arms transfers. Developed with the highest standards of information security, the platform ensures the protection of sensitive national data.</w:t>
      </w:r>
    </w:p>
    <w:p w14:paraId="774C31F0"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p>
    <w:p w14:paraId="3AC14FB3" w14:textId="7B7F3061"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 xml:space="preserve">In its initial phase, the OAS will cover the costs of maintaining and operating the platform, meaning there will be no additional financial burden on the recipient states. The platform’s design is also flexible, allowing it to adapt to </w:t>
      </w:r>
      <w:r w:rsidRPr="00986BAB">
        <w:rPr>
          <w:rFonts w:ascii="Arial" w:eastAsia="Times New Roman" w:hAnsi="Arial" w:cs="Arial"/>
          <w:color w:val="000000"/>
          <w:kern w:val="0"/>
          <w:sz w:val="28"/>
          <w:szCs w:val="28"/>
          <w:lang w:val="en-BR"/>
          <w14:ligatures w14:val="none"/>
        </w:rPr>
        <w:lastRenderedPageBreak/>
        <w:t>national legal and regulatory frameworks, accommodating necessary customizations.</w:t>
      </w:r>
    </w:p>
    <w:p w14:paraId="26537829" w14:textId="5970020E"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 xml:space="preserve">The voluntary adoption of the SNL and MCTA will help states achieve effective implementation of Article IX of the Inter-American Convention while supporting the implementation of </w:t>
      </w:r>
      <w:r w:rsidR="005A59E5" w:rsidRPr="0066462A">
        <w:rPr>
          <w:rFonts w:ascii="Arial" w:eastAsia="Times New Roman" w:hAnsi="Arial" w:cs="Arial"/>
          <w:color w:val="000000"/>
          <w:kern w:val="0"/>
          <w:sz w:val="28"/>
          <w:szCs w:val="28"/>
          <w14:ligatures w14:val="none"/>
        </w:rPr>
        <w:t>Articles 1, 5, 11, 12, 13, and 15 of the ATT</w:t>
      </w:r>
      <w:r w:rsidRPr="00986BAB">
        <w:rPr>
          <w:rFonts w:ascii="Arial" w:eastAsia="Times New Roman" w:hAnsi="Arial" w:cs="Arial"/>
          <w:color w:val="000000"/>
          <w:kern w:val="0"/>
          <w:sz w:val="28"/>
          <w:szCs w:val="28"/>
          <w:lang w:val="en-BR"/>
          <w14:ligatures w14:val="none"/>
        </w:rPr>
        <w:t>. By using this OAS digital solution, States Parties to the ATT will be better positioned to fulfill transparency and reporting obligations and access statistics and analytics to counter diversion and illicit trafficking.</w:t>
      </w:r>
    </w:p>
    <w:p w14:paraId="6B357131"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In closing, I wish to emphasize that cooperation provides the opportunity to tap into the advantages of both international regimes like the ATT and regional organizations like the OAS to address common threats. The Organization of American States, through its Multidimensional Security Secretariat, is committed to continuing its work in achieving our common goals and hopes to contribute to the strengthening of the ATT in the Americas and beyond.</w:t>
      </w:r>
    </w:p>
    <w:p w14:paraId="7C445CC2"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p>
    <w:p w14:paraId="65A77755"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r w:rsidRPr="00986BAB">
        <w:rPr>
          <w:rFonts w:ascii="Arial" w:eastAsia="Times New Roman" w:hAnsi="Arial" w:cs="Arial"/>
          <w:color w:val="000000"/>
          <w:kern w:val="0"/>
          <w:sz w:val="28"/>
          <w:szCs w:val="28"/>
          <w:lang w:val="en-BR"/>
          <w14:ligatures w14:val="none"/>
        </w:rPr>
        <w:t>Thank you.</w:t>
      </w:r>
    </w:p>
    <w:p w14:paraId="6499F7A1" w14:textId="77777777" w:rsidR="00986BAB" w:rsidRPr="00986BAB" w:rsidRDefault="00986BAB" w:rsidP="00986BAB">
      <w:pPr>
        <w:jc w:val="both"/>
        <w:rPr>
          <w:rFonts w:ascii="Arial" w:eastAsia="Times New Roman" w:hAnsi="Arial" w:cs="Arial"/>
          <w:color w:val="000000"/>
          <w:kern w:val="0"/>
          <w:sz w:val="28"/>
          <w:szCs w:val="28"/>
          <w:lang w:val="en-BR"/>
          <w14:ligatures w14:val="none"/>
        </w:rPr>
      </w:pPr>
    </w:p>
    <w:p w14:paraId="4AA25325" w14:textId="6BFFEFD3" w:rsidR="00743F2A" w:rsidRPr="0066462A" w:rsidRDefault="00743F2A" w:rsidP="00986BAB">
      <w:pPr>
        <w:jc w:val="both"/>
        <w:rPr>
          <w:rFonts w:ascii="Arial" w:eastAsia="Times New Roman" w:hAnsi="Arial" w:cs="Arial"/>
          <w:color w:val="000000"/>
          <w:kern w:val="0"/>
          <w:sz w:val="28"/>
          <w:szCs w:val="28"/>
          <w:lang w:val="en-BR"/>
          <w14:ligatures w14:val="none"/>
        </w:rPr>
      </w:pPr>
    </w:p>
    <w:sectPr w:rsidR="00743F2A" w:rsidRPr="00664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3EF1"/>
    <w:multiLevelType w:val="multilevel"/>
    <w:tmpl w:val="C866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A025B"/>
    <w:multiLevelType w:val="multilevel"/>
    <w:tmpl w:val="2670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187ED9"/>
    <w:multiLevelType w:val="hybridMultilevel"/>
    <w:tmpl w:val="274E3C60"/>
    <w:lvl w:ilvl="0" w:tplc="ED7091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5F500F"/>
    <w:multiLevelType w:val="multilevel"/>
    <w:tmpl w:val="466E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EB3052"/>
    <w:multiLevelType w:val="hybridMultilevel"/>
    <w:tmpl w:val="6C74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853700"/>
    <w:multiLevelType w:val="hybridMultilevel"/>
    <w:tmpl w:val="65CA6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308068">
    <w:abstractNumId w:val="4"/>
  </w:num>
  <w:num w:numId="2" w16cid:durableId="1164467368">
    <w:abstractNumId w:val="1"/>
  </w:num>
  <w:num w:numId="3" w16cid:durableId="464811151">
    <w:abstractNumId w:val="5"/>
  </w:num>
  <w:num w:numId="4" w16cid:durableId="1947493408">
    <w:abstractNumId w:val="2"/>
  </w:num>
  <w:num w:numId="5" w16cid:durableId="1453789459">
    <w:abstractNumId w:val="0"/>
  </w:num>
  <w:num w:numId="6" w16cid:durableId="1566145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38"/>
    <w:rsid w:val="00057CCF"/>
    <w:rsid w:val="00114ADD"/>
    <w:rsid w:val="00127B2B"/>
    <w:rsid w:val="00132FFA"/>
    <w:rsid w:val="00254C4F"/>
    <w:rsid w:val="00267BAC"/>
    <w:rsid w:val="002B6FB9"/>
    <w:rsid w:val="002D1B1D"/>
    <w:rsid w:val="003205DD"/>
    <w:rsid w:val="00350854"/>
    <w:rsid w:val="00356376"/>
    <w:rsid w:val="00382CF5"/>
    <w:rsid w:val="003D57A6"/>
    <w:rsid w:val="00400F5E"/>
    <w:rsid w:val="00492DE1"/>
    <w:rsid w:val="00576695"/>
    <w:rsid w:val="005A59E5"/>
    <w:rsid w:val="005B0985"/>
    <w:rsid w:val="006057F8"/>
    <w:rsid w:val="00617B38"/>
    <w:rsid w:val="0062133E"/>
    <w:rsid w:val="006437CB"/>
    <w:rsid w:val="0066462A"/>
    <w:rsid w:val="006B1472"/>
    <w:rsid w:val="006C4E16"/>
    <w:rsid w:val="006C6F08"/>
    <w:rsid w:val="006D4510"/>
    <w:rsid w:val="00743F2A"/>
    <w:rsid w:val="00765C2B"/>
    <w:rsid w:val="00774F35"/>
    <w:rsid w:val="007848C6"/>
    <w:rsid w:val="007B4C61"/>
    <w:rsid w:val="008221FD"/>
    <w:rsid w:val="0085527C"/>
    <w:rsid w:val="008A0A37"/>
    <w:rsid w:val="008D5536"/>
    <w:rsid w:val="00905DB0"/>
    <w:rsid w:val="00986BAB"/>
    <w:rsid w:val="009F40E0"/>
    <w:rsid w:val="00A37E3F"/>
    <w:rsid w:val="00AC10A4"/>
    <w:rsid w:val="00B16D5E"/>
    <w:rsid w:val="00B47356"/>
    <w:rsid w:val="00B57AEC"/>
    <w:rsid w:val="00C43093"/>
    <w:rsid w:val="00C96A3E"/>
    <w:rsid w:val="00D5257A"/>
    <w:rsid w:val="00D55CDB"/>
    <w:rsid w:val="00D55D4D"/>
    <w:rsid w:val="00D67ECB"/>
    <w:rsid w:val="00DC5C4E"/>
    <w:rsid w:val="00DF3705"/>
    <w:rsid w:val="00F34E62"/>
    <w:rsid w:val="00FE7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A2DE"/>
  <w15:chartTrackingRefBased/>
  <w15:docId w15:val="{7BE5D3B1-C284-471B-ABE0-713122C9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B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127B2B"/>
    <w:pPr>
      <w:ind w:left="720"/>
      <w:contextualSpacing/>
    </w:pPr>
  </w:style>
  <w:style w:type="paragraph" w:styleId="Revision">
    <w:name w:val="Revision"/>
    <w:hidden/>
    <w:uiPriority w:val="99"/>
    <w:semiHidden/>
    <w:rsid w:val="00765C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505">
      <w:bodyDiv w:val="1"/>
      <w:marLeft w:val="0"/>
      <w:marRight w:val="0"/>
      <w:marTop w:val="0"/>
      <w:marBottom w:val="0"/>
      <w:divBdr>
        <w:top w:val="none" w:sz="0" w:space="0" w:color="auto"/>
        <w:left w:val="none" w:sz="0" w:space="0" w:color="auto"/>
        <w:bottom w:val="none" w:sz="0" w:space="0" w:color="auto"/>
        <w:right w:val="none" w:sz="0" w:space="0" w:color="auto"/>
      </w:divBdr>
    </w:div>
    <w:div w:id="164630635">
      <w:bodyDiv w:val="1"/>
      <w:marLeft w:val="0"/>
      <w:marRight w:val="0"/>
      <w:marTop w:val="0"/>
      <w:marBottom w:val="0"/>
      <w:divBdr>
        <w:top w:val="none" w:sz="0" w:space="0" w:color="auto"/>
        <w:left w:val="none" w:sz="0" w:space="0" w:color="auto"/>
        <w:bottom w:val="none" w:sz="0" w:space="0" w:color="auto"/>
        <w:right w:val="none" w:sz="0" w:space="0" w:color="auto"/>
      </w:divBdr>
    </w:div>
    <w:div w:id="689644946">
      <w:bodyDiv w:val="1"/>
      <w:marLeft w:val="0"/>
      <w:marRight w:val="0"/>
      <w:marTop w:val="0"/>
      <w:marBottom w:val="0"/>
      <w:divBdr>
        <w:top w:val="none" w:sz="0" w:space="0" w:color="auto"/>
        <w:left w:val="none" w:sz="0" w:space="0" w:color="auto"/>
        <w:bottom w:val="none" w:sz="0" w:space="0" w:color="auto"/>
        <w:right w:val="none" w:sz="0" w:space="0" w:color="auto"/>
      </w:divBdr>
    </w:div>
    <w:div w:id="188574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Marques, Ivan Contente</dc:creator>
  <cp:keywords/>
  <dc:description/>
  <cp:lastModifiedBy>Ivan Contente Marques</cp:lastModifiedBy>
  <cp:revision>3</cp:revision>
  <dcterms:created xsi:type="dcterms:W3CDTF">2024-08-19T13:12:00Z</dcterms:created>
  <dcterms:modified xsi:type="dcterms:W3CDTF">2024-08-19T13:13:00Z</dcterms:modified>
</cp:coreProperties>
</file>