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D98C0" w14:textId="77777777" w:rsidR="004E368A" w:rsidRDefault="004E368A" w:rsidP="00267950">
      <w:pPr>
        <w:rPr>
          <w:b/>
          <w:bCs/>
          <w:sz w:val="22"/>
          <w:szCs w:val="22"/>
        </w:rPr>
      </w:pPr>
    </w:p>
    <w:p w14:paraId="788F756F" w14:textId="0DE7E9B6" w:rsidR="00267950" w:rsidRPr="00695C7B" w:rsidRDefault="00D96911" w:rsidP="00267950">
      <w:pPr>
        <w:rPr>
          <w:b/>
          <w:bCs/>
          <w:sz w:val="22"/>
          <w:szCs w:val="22"/>
        </w:rPr>
      </w:pPr>
      <w:r w:rsidRPr="00695C7B">
        <w:rPr>
          <w:b/>
          <w:bCs/>
          <w:sz w:val="22"/>
          <w:szCs w:val="22"/>
        </w:rPr>
        <w:t xml:space="preserve">TI-DS Statement at the </w:t>
      </w:r>
      <w:r w:rsidR="00267950" w:rsidRPr="00695C7B">
        <w:rPr>
          <w:b/>
          <w:bCs/>
          <w:sz w:val="22"/>
          <w:szCs w:val="22"/>
        </w:rPr>
        <w:t>ATT CSP11 General Debate</w:t>
      </w:r>
    </w:p>
    <w:p w14:paraId="1FEFC51F" w14:textId="4DAF6F25" w:rsidR="002E141E" w:rsidRPr="00695C7B" w:rsidRDefault="00267950" w:rsidP="00626BA3">
      <w:pPr>
        <w:jc w:val="right"/>
        <w:rPr>
          <w:sz w:val="22"/>
          <w:szCs w:val="22"/>
        </w:rPr>
      </w:pPr>
      <w:r w:rsidRPr="00695C7B">
        <w:rPr>
          <w:sz w:val="22"/>
          <w:szCs w:val="22"/>
        </w:rPr>
        <w:t>Geneva, Monday 25 August 2025</w:t>
      </w:r>
    </w:p>
    <w:p w14:paraId="018C3322" w14:textId="7E26574B" w:rsidR="00267950" w:rsidRPr="00695C7B" w:rsidRDefault="00267950" w:rsidP="00267950">
      <w:pPr>
        <w:rPr>
          <w:sz w:val="22"/>
          <w:szCs w:val="22"/>
        </w:rPr>
      </w:pPr>
      <w:r w:rsidRPr="00695C7B">
        <w:rPr>
          <w:sz w:val="22"/>
          <w:szCs w:val="22"/>
        </w:rPr>
        <w:t>Chair, Excellencies, Distinguished Delegates,</w:t>
      </w:r>
    </w:p>
    <w:p w14:paraId="7A9259F1" w14:textId="2C4D74E6" w:rsidR="00267950" w:rsidRPr="00695C7B" w:rsidRDefault="00267950" w:rsidP="00267950">
      <w:pPr>
        <w:rPr>
          <w:sz w:val="22"/>
          <w:szCs w:val="22"/>
        </w:rPr>
      </w:pPr>
      <w:r w:rsidRPr="00695C7B">
        <w:rPr>
          <w:sz w:val="22"/>
          <w:szCs w:val="22"/>
        </w:rPr>
        <w:t xml:space="preserve">Transparency International Defence &amp; Security welcomes the opportunity to address the Eleventh Conference of States Parties. We strongly support the theme of </w:t>
      </w:r>
      <w:r w:rsidRPr="00695C7B">
        <w:rPr>
          <w:b/>
          <w:bCs/>
          <w:i/>
          <w:iCs/>
          <w:sz w:val="22"/>
          <w:szCs w:val="22"/>
        </w:rPr>
        <w:t>universalization as a priority</w:t>
      </w:r>
      <w:r w:rsidRPr="00695C7B">
        <w:rPr>
          <w:sz w:val="22"/>
          <w:szCs w:val="22"/>
        </w:rPr>
        <w:t xml:space="preserve">. </w:t>
      </w:r>
      <w:r w:rsidR="005C73C5" w:rsidRPr="00695C7B">
        <w:rPr>
          <w:sz w:val="22"/>
          <w:szCs w:val="22"/>
        </w:rPr>
        <w:t>Universalization is not just about membership</w:t>
      </w:r>
      <w:r w:rsidR="005C73C5" w:rsidRPr="00695C7B">
        <w:rPr>
          <w:sz w:val="22"/>
          <w:szCs w:val="22"/>
        </w:rPr>
        <w:t>; i</w:t>
      </w:r>
      <w:r w:rsidR="005C73C5" w:rsidRPr="00695C7B">
        <w:rPr>
          <w:sz w:val="22"/>
          <w:szCs w:val="22"/>
        </w:rPr>
        <w:t xml:space="preserve">t must ensure the Treaty </w:t>
      </w:r>
      <w:r w:rsidR="005C73C5" w:rsidRPr="00695C7B">
        <w:rPr>
          <w:b/>
          <w:bCs/>
          <w:sz w:val="22"/>
          <w:szCs w:val="22"/>
        </w:rPr>
        <w:t>prevents diversion and strengthens collective securit</w:t>
      </w:r>
      <w:r w:rsidR="005C73C5" w:rsidRPr="00695C7B">
        <w:rPr>
          <w:b/>
          <w:bCs/>
          <w:sz w:val="22"/>
          <w:szCs w:val="22"/>
        </w:rPr>
        <w:t>y</w:t>
      </w:r>
      <w:r w:rsidR="005C73C5" w:rsidRPr="00695C7B">
        <w:rPr>
          <w:sz w:val="22"/>
          <w:szCs w:val="22"/>
        </w:rPr>
        <w:t>.</w:t>
      </w:r>
    </w:p>
    <w:p w14:paraId="762B708D" w14:textId="2BC8BAD1" w:rsidR="00267950" w:rsidRPr="00695C7B" w:rsidRDefault="00267950" w:rsidP="00152E7F">
      <w:pPr>
        <w:rPr>
          <w:sz w:val="22"/>
          <w:szCs w:val="22"/>
        </w:rPr>
      </w:pPr>
      <w:r w:rsidRPr="00695C7B">
        <w:rPr>
          <w:sz w:val="22"/>
          <w:szCs w:val="22"/>
        </w:rPr>
        <w:t xml:space="preserve">Our recent </w:t>
      </w:r>
      <w:hyperlink r:id="rId7" w:history="1">
        <w:r w:rsidRPr="00695C7B">
          <w:rPr>
            <w:rStyle w:val="Hyperlink"/>
            <w:sz w:val="22"/>
            <w:szCs w:val="22"/>
          </w:rPr>
          <w:t>research</w:t>
        </w:r>
      </w:hyperlink>
      <w:r w:rsidRPr="00695C7B">
        <w:rPr>
          <w:sz w:val="22"/>
          <w:szCs w:val="22"/>
        </w:rPr>
        <w:t xml:space="preserve"> reviewed more than 400 cases of arms diversion linked to corruption in 70 countries. The evidence is stark: corruption is one of the most persistent drivers of diversion. </w:t>
      </w:r>
      <w:r w:rsidR="0071218B" w:rsidRPr="00695C7B">
        <w:rPr>
          <w:sz w:val="22"/>
          <w:szCs w:val="22"/>
        </w:rPr>
        <w:t>From officials selling weapons to border agents taking bribes, corruption fuels diversion at every stage of the arms lifecycle</w:t>
      </w:r>
      <w:r w:rsidR="0071218B" w:rsidRPr="00695C7B">
        <w:rPr>
          <w:sz w:val="22"/>
          <w:szCs w:val="22"/>
        </w:rPr>
        <w:t xml:space="preserve">. </w:t>
      </w:r>
      <w:r w:rsidRPr="00695C7B">
        <w:rPr>
          <w:sz w:val="22"/>
          <w:szCs w:val="22"/>
        </w:rPr>
        <w:t xml:space="preserve">These practices </w:t>
      </w:r>
      <w:r w:rsidR="00C66CDE" w:rsidRPr="00695C7B">
        <w:rPr>
          <w:sz w:val="22"/>
          <w:szCs w:val="22"/>
        </w:rPr>
        <w:t>hollow out institutions, empower armed groups, and obstruct reforms needed for peace</w:t>
      </w:r>
      <w:r w:rsidRPr="00695C7B">
        <w:rPr>
          <w:sz w:val="22"/>
          <w:szCs w:val="22"/>
        </w:rPr>
        <w:t>.</w:t>
      </w:r>
    </w:p>
    <w:p w14:paraId="3A5EE5EC" w14:textId="31EF396F" w:rsidR="00267950" w:rsidRPr="00695C7B" w:rsidRDefault="00C66CDE" w:rsidP="00267950">
      <w:pPr>
        <w:rPr>
          <w:sz w:val="22"/>
          <w:szCs w:val="22"/>
        </w:rPr>
      </w:pPr>
      <w:r w:rsidRPr="00695C7B">
        <w:rPr>
          <w:sz w:val="22"/>
          <w:szCs w:val="22"/>
        </w:rPr>
        <w:t>For</w:t>
      </w:r>
      <w:r w:rsidR="00267950" w:rsidRPr="00695C7B">
        <w:rPr>
          <w:sz w:val="22"/>
          <w:szCs w:val="22"/>
        </w:rPr>
        <w:t xml:space="preserve"> the ATT to win universal adherence, States and societies must trust that it can address these realities. Universalization must go hand-in-hand with </w:t>
      </w:r>
      <w:proofErr w:type="spellStart"/>
      <w:r w:rsidR="00267950" w:rsidRPr="00695C7B">
        <w:rPr>
          <w:sz w:val="22"/>
          <w:szCs w:val="22"/>
        </w:rPr>
        <w:t>defence</w:t>
      </w:r>
      <w:proofErr w:type="spellEnd"/>
      <w:r w:rsidR="00267950" w:rsidRPr="00695C7B">
        <w:rPr>
          <w:sz w:val="22"/>
          <w:szCs w:val="22"/>
        </w:rPr>
        <w:t xml:space="preserve"> transparency</w:t>
      </w:r>
      <w:r w:rsidR="00D96911" w:rsidRPr="00695C7B">
        <w:rPr>
          <w:sz w:val="22"/>
          <w:szCs w:val="22"/>
        </w:rPr>
        <w:t xml:space="preserve"> </w:t>
      </w:r>
      <w:r w:rsidR="00267950" w:rsidRPr="00695C7B">
        <w:rPr>
          <w:sz w:val="22"/>
          <w:szCs w:val="22"/>
        </w:rPr>
        <w:t xml:space="preserve">and integrity. </w:t>
      </w:r>
    </w:p>
    <w:p w14:paraId="7B89C8F4" w14:textId="695636C3" w:rsidR="00267950" w:rsidRPr="00695C7B" w:rsidRDefault="0033221F" w:rsidP="00267950">
      <w:pPr>
        <w:rPr>
          <w:sz w:val="22"/>
          <w:szCs w:val="22"/>
        </w:rPr>
      </w:pPr>
      <w:r w:rsidRPr="00695C7B">
        <w:rPr>
          <w:sz w:val="22"/>
          <w:szCs w:val="22"/>
        </w:rPr>
        <w:t>F</w:t>
      </w:r>
      <w:r w:rsidR="00267950" w:rsidRPr="00695C7B">
        <w:rPr>
          <w:sz w:val="22"/>
          <w:szCs w:val="22"/>
        </w:rPr>
        <w:t>or these reasons</w:t>
      </w:r>
      <w:r w:rsidRPr="00695C7B">
        <w:rPr>
          <w:sz w:val="22"/>
          <w:szCs w:val="22"/>
        </w:rPr>
        <w:t xml:space="preserve">, </w:t>
      </w:r>
      <w:r w:rsidR="00267950" w:rsidRPr="00695C7B">
        <w:rPr>
          <w:sz w:val="22"/>
          <w:szCs w:val="22"/>
        </w:rPr>
        <w:t>we urge States Parties to:</w:t>
      </w:r>
    </w:p>
    <w:p w14:paraId="6FEF4308" w14:textId="40DBCBB4" w:rsidR="00267950" w:rsidRPr="00695C7B" w:rsidRDefault="00267950" w:rsidP="00267950">
      <w:pPr>
        <w:numPr>
          <w:ilvl w:val="0"/>
          <w:numId w:val="1"/>
        </w:numPr>
        <w:tabs>
          <w:tab w:val="clear" w:pos="360"/>
          <w:tab w:val="num" w:pos="720"/>
        </w:tabs>
        <w:rPr>
          <w:sz w:val="22"/>
          <w:szCs w:val="22"/>
        </w:rPr>
      </w:pPr>
      <w:r w:rsidRPr="00695C7B">
        <w:rPr>
          <w:b/>
          <w:bCs/>
          <w:sz w:val="22"/>
          <w:szCs w:val="22"/>
        </w:rPr>
        <w:t>Integrate corruption risk factors systematically</w:t>
      </w:r>
      <w:r w:rsidRPr="00695C7B">
        <w:rPr>
          <w:sz w:val="22"/>
          <w:szCs w:val="22"/>
        </w:rPr>
        <w:t xml:space="preserve"> into ATT transfer assessments</w:t>
      </w:r>
      <w:r w:rsidR="00180D35" w:rsidRPr="00695C7B">
        <w:rPr>
          <w:sz w:val="22"/>
          <w:szCs w:val="22"/>
        </w:rPr>
        <w:t xml:space="preserve"> (</w:t>
      </w:r>
      <w:r w:rsidRPr="00695C7B">
        <w:rPr>
          <w:sz w:val="22"/>
          <w:szCs w:val="22"/>
        </w:rPr>
        <w:t>stockpile security, personnel accountability, and anti-diversion safeguards.</w:t>
      </w:r>
      <w:r w:rsidR="00180D35" w:rsidRPr="00695C7B">
        <w:rPr>
          <w:sz w:val="22"/>
          <w:szCs w:val="22"/>
        </w:rPr>
        <w:t>)</w:t>
      </w:r>
    </w:p>
    <w:p w14:paraId="48EB76A1" w14:textId="77777777" w:rsidR="00267950" w:rsidRPr="00695C7B" w:rsidRDefault="00267950" w:rsidP="00267950">
      <w:pPr>
        <w:numPr>
          <w:ilvl w:val="0"/>
          <w:numId w:val="1"/>
        </w:numPr>
        <w:tabs>
          <w:tab w:val="clear" w:pos="360"/>
          <w:tab w:val="num" w:pos="720"/>
        </w:tabs>
        <w:rPr>
          <w:sz w:val="22"/>
          <w:szCs w:val="22"/>
        </w:rPr>
      </w:pPr>
      <w:r w:rsidRPr="00695C7B">
        <w:rPr>
          <w:b/>
          <w:bCs/>
          <w:sz w:val="22"/>
          <w:szCs w:val="22"/>
        </w:rPr>
        <w:t>Work with Parliaments</w:t>
      </w:r>
      <w:r w:rsidRPr="00695C7B">
        <w:rPr>
          <w:sz w:val="22"/>
          <w:szCs w:val="22"/>
        </w:rPr>
        <w:t xml:space="preserve"> to strengthen oversight of arms procurement and transfers.</w:t>
      </w:r>
    </w:p>
    <w:p w14:paraId="0C32C78C" w14:textId="7393E187" w:rsidR="00267950" w:rsidRPr="00695C7B" w:rsidRDefault="00267950" w:rsidP="00267950">
      <w:pPr>
        <w:numPr>
          <w:ilvl w:val="0"/>
          <w:numId w:val="1"/>
        </w:numPr>
        <w:tabs>
          <w:tab w:val="clear" w:pos="360"/>
          <w:tab w:val="num" w:pos="720"/>
        </w:tabs>
        <w:rPr>
          <w:sz w:val="22"/>
          <w:szCs w:val="22"/>
        </w:rPr>
      </w:pPr>
      <w:r w:rsidRPr="00695C7B">
        <w:rPr>
          <w:b/>
          <w:bCs/>
          <w:sz w:val="22"/>
          <w:szCs w:val="22"/>
        </w:rPr>
        <w:t xml:space="preserve">Engage with civil society, academia, and the </w:t>
      </w:r>
      <w:r w:rsidRPr="00695C7B">
        <w:rPr>
          <w:b/>
          <w:bCs/>
          <w:sz w:val="22"/>
          <w:szCs w:val="22"/>
        </w:rPr>
        <w:t>media</w:t>
      </w:r>
      <w:r w:rsidRPr="00695C7B">
        <w:rPr>
          <w:sz w:val="22"/>
          <w:szCs w:val="22"/>
        </w:rPr>
        <w:t>, who play a critical role in exposing diversion and building public trust in the ATT</w:t>
      </w:r>
      <w:r w:rsidR="00567DE9" w:rsidRPr="00695C7B">
        <w:rPr>
          <w:sz w:val="22"/>
          <w:szCs w:val="22"/>
        </w:rPr>
        <w:t xml:space="preserve"> and national arms control policies</w:t>
      </w:r>
      <w:r w:rsidRPr="00695C7B">
        <w:rPr>
          <w:sz w:val="22"/>
          <w:szCs w:val="22"/>
        </w:rPr>
        <w:t>.</w:t>
      </w:r>
    </w:p>
    <w:p w14:paraId="131DFD29" w14:textId="4FC31FBD" w:rsidR="00267950" w:rsidRPr="00695C7B" w:rsidRDefault="00267950" w:rsidP="00267950">
      <w:pPr>
        <w:numPr>
          <w:ilvl w:val="0"/>
          <w:numId w:val="1"/>
        </w:numPr>
        <w:tabs>
          <w:tab w:val="clear" w:pos="360"/>
          <w:tab w:val="num" w:pos="720"/>
        </w:tabs>
        <w:rPr>
          <w:sz w:val="22"/>
          <w:szCs w:val="22"/>
        </w:rPr>
      </w:pPr>
      <w:r w:rsidRPr="00695C7B">
        <w:rPr>
          <w:b/>
          <w:bCs/>
          <w:sz w:val="22"/>
          <w:szCs w:val="22"/>
        </w:rPr>
        <w:t>Ensure</w:t>
      </w:r>
      <w:r w:rsidR="00D96911" w:rsidRPr="00695C7B">
        <w:rPr>
          <w:b/>
          <w:bCs/>
          <w:sz w:val="22"/>
          <w:szCs w:val="22"/>
        </w:rPr>
        <w:t xml:space="preserve"> that</w:t>
      </w:r>
      <w:r w:rsidRPr="00695C7B">
        <w:rPr>
          <w:b/>
          <w:bCs/>
          <w:sz w:val="22"/>
          <w:szCs w:val="22"/>
        </w:rPr>
        <w:t xml:space="preserve"> industry practices align with Treaty principles</w:t>
      </w:r>
      <w:r w:rsidRPr="00695C7B">
        <w:rPr>
          <w:sz w:val="22"/>
          <w:szCs w:val="22"/>
        </w:rPr>
        <w:t>, particularly as global rearmament accelerates and new suppliers enter the market.</w:t>
      </w:r>
    </w:p>
    <w:p w14:paraId="7E880FEE" w14:textId="50E8B915" w:rsidR="00F512FD" w:rsidRPr="00695C7B" w:rsidRDefault="001658CC" w:rsidP="00267950">
      <w:pPr>
        <w:rPr>
          <w:sz w:val="22"/>
          <w:szCs w:val="22"/>
        </w:rPr>
      </w:pPr>
      <w:r w:rsidRPr="00695C7B">
        <w:rPr>
          <w:sz w:val="22"/>
          <w:szCs w:val="22"/>
        </w:rPr>
        <w:t>Public reporting on national exports is critical. Without detail on weapon types and prices, parliaments and civil society cannot assess diversion risks, detect trafficking networks, or spot fraud and corruption.</w:t>
      </w:r>
    </w:p>
    <w:p w14:paraId="1531B8D0" w14:textId="3FE2DA96" w:rsidR="000F3171" w:rsidRPr="00695C7B" w:rsidRDefault="001658CC" w:rsidP="00267950">
      <w:pPr>
        <w:rPr>
          <w:sz w:val="22"/>
          <w:szCs w:val="22"/>
        </w:rPr>
      </w:pPr>
      <w:r w:rsidRPr="00695C7B">
        <w:rPr>
          <w:sz w:val="22"/>
          <w:szCs w:val="22"/>
        </w:rPr>
        <w:t>Universalization is ultimately about credibility. Each new accession should reinforce collective security. The ATT will only succeed if it is seen as an effective framework that embeds transparency, prevents diversion, and delivers results for communities</w:t>
      </w:r>
      <w:r w:rsidR="00626BA3" w:rsidRPr="00695C7B">
        <w:rPr>
          <w:sz w:val="22"/>
          <w:szCs w:val="22"/>
        </w:rPr>
        <w:t>.</w:t>
      </w:r>
      <w:r w:rsidR="000F3171" w:rsidRPr="00695C7B">
        <w:rPr>
          <w:sz w:val="22"/>
          <w:szCs w:val="22"/>
        </w:rPr>
        <w:t xml:space="preserve"> </w:t>
      </w:r>
    </w:p>
    <w:p w14:paraId="4EA3CDB8" w14:textId="16739536" w:rsidR="00C66751" w:rsidRPr="00695C7B" w:rsidRDefault="00C66751" w:rsidP="00267950">
      <w:pPr>
        <w:rPr>
          <w:sz w:val="22"/>
          <w:szCs w:val="22"/>
        </w:rPr>
      </w:pPr>
      <w:r w:rsidRPr="00695C7B">
        <w:rPr>
          <w:sz w:val="22"/>
          <w:szCs w:val="22"/>
        </w:rPr>
        <w:t>We stand ready to work with States Parties, the UN, and civil society partners to advance this vision.</w:t>
      </w:r>
    </w:p>
    <w:p w14:paraId="3DACFD67" w14:textId="54543945" w:rsidR="00760555" w:rsidRDefault="00C96666">
      <w:pPr>
        <w:rPr>
          <w:sz w:val="22"/>
          <w:szCs w:val="22"/>
        </w:rPr>
      </w:pPr>
      <w:r w:rsidRPr="00695C7B">
        <w:rPr>
          <w:sz w:val="22"/>
          <w:szCs w:val="22"/>
        </w:rPr>
        <w:t>T</w:t>
      </w:r>
      <w:r w:rsidR="00267950" w:rsidRPr="00695C7B">
        <w:rPr>
          <w:sz w:val="22"/>
          <w:szCs w:val="22"/>
        </w:rPr>
        <w:t>hank</w:t>
      </w:r>
      <w:r w:rsidRPr="00695C7B">
        <w:rPr>
          <w:sz w:val="22"/>
          <w:szCs w:val="22"/>
        </w:rPr>
        <w:t xml:space="preserve"> you</w:t>
      </w:r>
      <w:r w:rsidR="00267950" w:rsidRPr="00695C7B">
        <w:rPr>
          <w:sz w:val="22"/>
          <w:szCs w:val="22"/>
        </w:rPr>
        <w:t>.</w:t>
      </w:r>
    </w:p>
    <w:p w14:paraId="410006BF" w14:textId="77777777" w:rsidR="004E368A" w:rsidRDefault="004E368A">
      <w:pPr>
        <w:rPr>
          <w:sz w:val="22"/>
          <w:szCs w:val="22"/>
        </w:rPr>
      </w:pPr>
    </w:p>
    <w:p w14:paraId="28305203" w14:textId="77777777" w:rsidR="004E368A" w:rsidRDefault="004E368A">
      <w:pPr>
        <w:rPr>
          <w:sz w:val="22"/>
          <w:szCs w:val="22"/>
        </w:rPr>
      </w:pPr>
    </w:p>
    <w:p w14:paraId="4E18790B" w14:textId="3EA0C1FD" w:rsidR="004E368A" w:rsidRPr="004E368A" w:rsidRDefault="004E368A" w:rsidP="004E368A">
      <w:pPr>
        <w:jc w:val="right"/>
        <w:rPr>
          <w:sz w:val="20"/>
          <w:szCs w:val="20"/>
        </w:rPr>
      </w:pPr>
      <w:r w:rsidRPr="004E368A">
        <w:rPr>
          <w:sz w:val="20"/>
          <w:szCs w:val="20"/>
        </w:rPr>
        <w:t>Word count: 305</w:t>
      </w:r>
    </w:p>
    <w:sectPr w:rsidR="004E368A" w:rsidRPr="004E368A" w:rsidSect="009B46E0">
      <w:headerReference w:type="even" r:id="rId8"/>
      <w:headerReference w:type="default" r:id="rId9"/>
      <w:footerReference w:type="even" r:id="rId10"/>
      <w:footerReference w:type="default" r:id="rId11"/>
      <w:headerReference w:type="first" r:id="rId12"/>
      <w:footerReference w:type="first" r:id="rId13"/>
      <w:pgSz w:w="11906" w:h="16838"/>
      <w:pgMar w:top="1474" w:right="1474" w:bottom="124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00EC5" w14:textId="77777777" w:rsidR="00810B18" w:rsidRDefault="00810B18" w:rsidP="00760555">
      <w:pPr>
        <w:spacing w:after="0" w:line="240" w:lineRule="auto"/>
      </w:pPr>
      <w:r>
        <w:separator/>
      </w:r>
    </w:p>
  </w:endnote>
  <w:endnote w:type="continuationSeparator" w:id="0">
    <w:p w14:paraId="1B6EA91E" w14:textId="77777777" w:rsidR="00810B18" w:rsidRDefault="00810B18" w:rsidP="0076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6146" w14:textId="77777777" w:rsidR="00760555" w:rsidRDefault="00760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F5166" w14:textId="77777777" w:rsidR="00760555" w:rsidRDefault="00760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A0449" w14:textId="77777777" w:rsidR="00760555" w:rsidRDefault="00760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BEAFE" w14:textId="77777777" w:rsidR="00810B18" w:rsidRDefault="00810B18" w:rsidP="00760555">
      <w:pPr>
        <w:spacing w:after="0" w:line="240" w:lineRule="auto"/>
      </w:pPr>
      <w:r>
        <w:separator/>
      </w:r>
    </w:p>
  </w:footnote>
  <w:footnote w:type="continuationSeparator" w:id="0">
    <w:p w14:paraId="0477DCE6" w14:textId="77777777" w:rsidR="00810B18" w:rsidRDefault="00810B18" w:rsidP="00760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32397" w14:textId="77777777" w:rsidR="00760555" w:rsidRDefault="00760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238B6" w14:textId="77777777" w:rsidR="00760555" w:rsidRDefault="00760555" w:rsidP="00760555">
    <w:pPr>
      <w:pStyle w:val="Header"/>
      <w:jc w:val="right"/>
    </w:pPr>
    <w:r w:rsidRPr="005F501B">
      <w:rPr>
        <w:noProof/>
      </w:rPr>
      <w:drawing>
        <wp:inline distT="0" distB="0" distL="0" distR="0" wp14:anchorId="7B8DED1E" wp14:editId="0ECE99C1">
          <wp:extent cx="1019331" cy="338070"/>
          <wp:effectExtent l="0" t="0" r="0" b="5080"/>
          <wp:docPr id="1628274453"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74453" name="Picture 1" descr="Blue text on a white background&#10;&#10;Description automatically generated"/>
                  <pic:cNvPicPr/>
                </pic:nvPicPr>
                <pic:blipFill>
                  <a:blip r:embed="rId1"/>
                  <a:stretch>
                    <a:fillRect/>
                  </a:stretch>
                </pic:blipFill>
                <pic:spPr>
                  <a:xfrm>
                    <a:off x="0" y="0"/>
                    <a:ext cx="1035803" cy="34353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EDDD3" w14:textId="77777777" w:rsidR="00760555" w:rsidRDefault="00760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455D8A"/>
    <w:multiLevelType w:val="multilevel"/>
    <w:tmpl w:val="66D681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390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50"/>
    <w:rsid w:val="000E5C45"/>
    <w:rsid w:val="000F3171"/>
    <w:rsid w:val="001125D2"/>
    <w:rsid w:val="0011614C"/>
    <w:rsid w:val="00152E7F"/>
    <w:rsid w:val="001658CC"/>
    <w:rsid w:val="00180D35"/>
    <w:rsid w:val="00211962"/>
    <w:rsid w:val="002523BC"/>
    <w:rsid w:val="00267950"/>
    <w:rsid w:val="0027123F"/>
    <w:rsid w:val="0029087E"/>
    <w:rsid w:val="00292797"/>
    <w:rsid w:val="002E141E"/>
    <w:rsid w:val="0033221F"/>
    <w:rsid w:val="00341FA1"/>
    <w:rsid w:val="00452DA3"/>
    <w:rsid w:val="00462BF6"/>
    <w:rsid w:val="004A7F8F"/>
    <w:rsid w:val="004E368A"/>
    <w:rsid w:val="005250EB"/>
    <w:rsid w:val="00567DE9"/>
    <w:rsid w:val="005C73C5"/>
    <w:rsid w:val="006025DA"/>
    <w:rsid w:val="0061245D"/>
    <w:rsid w:val="00626BA3"/>
    <w:rsid w:val="00695C7B"/>
    <w:rsid w:val="006A296A"/>
    <w:rsid w:val="006C6F99"/>
    <w:rsid w:val="0071218B"/>
    <w:rsid w:val="00760555"/>
    <w:rsid w:val="007D5148"/>
    <w:rsid w:val="00807937"/>
    <w:rsid w:val="00810B18"/>
    <w:rsid w:val="0082402E"/>
    <w:rsid w:val="008A076E"/>
    <w:rsid w:val="008A435A"/>
    <w:rsid w:val="009B46E0"/>
    <w:rsid w:val="009E7996"/>
    <w:rsid w:val="00A224EB"/>
    <w:rsid w:val="00AC4B56"/>
    <w:rsid w:val="00B03B94"/>
    <w:rsid w:val="00BB7390"/>
    <w:rsid w:val="00BE0C61"/>
    <w:rsid w:val="00BE5280"/>
    <w:rsid w:val="00BF3415"/>
    <w:rsid w:val="00C66751"/>
    <w:rsid w:val="00C66CDE"/>
    <w:rsid w:val="00C96666"/>
    <w:rsid w:val="00CE0A67"/>
    <w:rsid w:val="00D36B8D"/>
    <w:rsid w:val="00D96911"/>
    <w:rsid w:val="00DB2A61"/>
    <w:rsid w:val="00DE7F08"/>
    <w:rsid w:val="00E624F4"/>
    <w:rsid w:val="00E77577"/>
    <w:rsid w:val="00E87007"/>
    <w:rsid w:val="00EE29AB"/>
    <w:rsid w:val="00EF5826"/>
    <w:rsid w:val="00EF6AF7"/>
    <w:rsid w:val="00F252D6"/>
    <w:rsid w:val="00F374F3"/>
    <w:rsid w:val="00F512FD"/>
    <w:rsid w:val="00F52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24C0"/>
  <w15:chartTrackingRefBased/>
  <w15:docId w15:val="{63FCCE9F-322F-F64A-926E-EED618FB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50"/>
  </w:style>
  <w:style w:type="paragraph" w:styleId="Heading1">
    <w:name w:val="heading 1"/>
    <w:basedOn w:val="Normal"/>
    <w:next w:val="Normal"/>
    <w:link w:val="Heading1Char"/>
    <w:uiPriority w:val="9"/>
    <w:qFormat/>
    <w:rsid w:val="00760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555"/>
    <w:rPr>
      <w:rFonts w:eastAsiaTheme="majorEastAsia" w:cstheme="majorBidi"/>
      <w:color w:val="272727" w:themeColor="text1" w:themeTint="D8"/>
    </w:rPr>
  </w:style>
  <w:style w:type="paragraph" w:styleId="Title">
    <w:name w:val="Title"/>
    <w:basedOn w:val="Normal"/>
    <w:next w:val="Normal"/>
    <w:link w:val="TitleChar"/>
    <w:uiPriority w:val="10"/>
    <w:qFormat/>
    <w:rsid w:val="00760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555"/>
    <w:pPr>
      <w:spacing w:before="160"/>
      <w:jc w:val="center"/>
    </w:pPr>
    <w:rPr>
      <w:i/>
      <w:iCs/>
      <w:color w:val="404040" w:themeColor="text1" w:themeTint="BF"/>
    </w:rPr>
  </w:style>
  <w:style w:type="character" w:customStyle="1" w:styleId="QuoteChar">
    <w:name w:val="Quote Char"/>
    <w:basedOn w:val="DefaultParagraphFont"/>
    <w:link w:val="Quote"/>
    <w:uiPriority w:val="29"/>
    <w:rsid w:val="00760555"/>
    <w:rPr>
      <w:i/>
      <w:iCs/>
      <w:color w:val="404040" w:themeColor="text1" w:themeTint="BF"/>
    </w:rPr>
  </w:style>
  <w:style w:type="paragraph" w:styleId="ListParagraph">
    <w:name w:val="List Paragraph"/>
    <w:basedOn w:val="Normal"/>
    <w:uiPriority w:val="34"/>
    <w:qFormat/>
    <w:rsid w:val="00760555"/>
    <w:pPr>
      <w:ind w:left="720"/>
      <w:contextualSpacing/>
    </w:pPr>
  </w:style>
  <w:style w:type="character" w:styleId="IntenseEmphasis">
    <w:name w:val="Intense Emphasis"/>
    <w:basedOn w:val="DefaultParagraphFont"/>
    <w:uiPriority w:val="21"/>
    <w:qFormat/>
    <w:rsid w:val="00760555"/>
    <w:rPr>
      <w:i/>
      <w:iCs/>
      <w:color w:val="0F4761" w:themeColor="accent1" w:themeShade="BF"/>
    </w:rPr>
  </w:style>
  <w:style w:type="paragraph" w:styleId="IntenseQuote">
    <w:name w:val="Intense Quote"/>
    <w:basedOn w:val="Normal"/>
    <w:next w:val="Normal"/>
    <w:link w:val="IntenseQuoteChar"/>
    <w:uiPriority w:val="30"/>
    <w:qFormat/>
    <w:rsid w:val="00760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555"/>
    <w:rPr>
      <w:i/>
      <w:iCs/>
      <w:color w:val="0F4761" w:themeColor="accent1" w:themeShade="BF"/>
    </w:rPr>
  </w:style>
  <w:style w:type="character" w:styleId="IntenseReference">
    <w:name w:val="Intense Reference"/>
    <w:basedOn w:val="DefaultParagraphFont"/>
    <w:uiPriority w:val="32"/>
    <w:qFormat/>
    <w:rsid w:val="00760555"/>
    <w:rPr>
      <w:b/>
      <w:bCs/>
      <w:smallCaps/>
      <w:color w:val="0F4761" w:themeColor="accent1" w:themeShade="BF"/>
      <w:spacing w:val="5"/>
    </w:rPr>
  </w:style>
  <w:style w:type="paragraph" w:styleId="Header">
    <w:name w:val="header"/>
    <w:basedOn w:val="Normal"/>
    <w:link w:val="HeaderChar"/>
    <w:uiPriority w:val="99"/>
    <w:unhideWhenUsed/>
    <w:rsid w:val="00760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555"/>
  </w:style>
  <w:style w:type="paragraph" w:styleId="Footer">
    <w:name w:val="footer"/>
    <w:basedOn w:val="Normal"/>
    <w:link w:val="FooterChar"/>
    <w:uiPriority w:val="99"/>
    <w:unhideWhenUsed/>
    <w:rsid w:val="00760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555"/>
  </w:style>
  <w:style w:type="character" w:styleId="Hyperlink">
    <w:name w:val="Hyperlink"/>
    <w:basedOn w:val="DefaultParagraphFont"/>
    <w:uiPriority w:val="99"/>
    <w:unhideWhenUsed/>
    <w:rsid w:val="00267950"/>
    <w:rPr>
      <w:color w:val="467886" w:themeColor="hyperlink"/>
      <w:u w:val="single"/>
    </w:rPr>
  </w:style>
  <w:style w:type="character" w:styleId="UnresolvedMention">
    <w:name w:val="Unresolved Mention"/>
    <w:basedOn w:val="DefaultParagraphFont"/>
    <w:uiPriority w:val="99"/>
    <w:semiHidden/>
    <w:unhideWhenUsed/>
    <w:rsid w:val="00267950"/>
    <w:rPr>
      <w:color w:val="605E5C"/>
      <w:shd w:val="clear" w:color="auto" w:fill="E1DFDD"/>
    </w:rPr>
  </w:style>
  <w:style w:type="paragraph" w:styleId="Revision">
    <w:name w:val="Revision"/>
    <w:hidden/>
    <w:uiPriority w:val="99"/>
    <w:semiHidden/>
    <w:rsid w:val="00EE2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defence.org/publications/under_the_radar_publica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ragrandi/Desktop/TI-D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TI-DS letterhead.dotx</Template>
  <TotalTime>9</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Francesca Grandi (TI DS)</cp:lastModifiedBy>
  <cp:revision>19</cp:revision>
  <dcterms:created xsi:type="dcterms:W3CDTF">2025-08-22T13:07:00Z</dcterms:created>
  <dcterms:modified xsi:type="dcterms:W3CDTF">2025-08-22T13:24:00Z</dcterms:modified>
</cp:coreProperties>
</file>