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967" w:rsidRDefault="00EE5967" w:rsidP="00DE137A">
      <w:pPr>
        <w:bidi/>
        <w:spacing w:before="120" w:after="120"/>
        <w:jc w:val="center"/>
        <w:rPr>
          <w:rFonts w:ascii="Dubai" w:hAnsi="Dubai" w:cs="Dubai"/>
          <w:b/>
          <w:bCs/>
          <w:color w:val="FF0000"/>
          <w:sz w:val="28"/>
          <w:szCs w:val="28"/>
          <w:rtl/>
        </w:rPr>
      </w:pPr>
      <w:r w:rsidRPr="000358C2">
        <w:rPr>
          <w:rFonts w:ascii="Dubai" w:hAnsi="Dubai" w:cs="Dubai" w:hint="cs"/>
          <w:b/>
          <w:bCs/>
          <w:color w:val="FF0000"/>
          <w:sz w:val="28"/>
          <w:szCs w:val="28"/>
          <w:rtl/>
        </w:rPr>
        <w:t>مداخلة إلي الفريق العامل الفرعي المعني بتبادل ممارسات التنفيذ الوطني</w:t>
      </w:r>
      <w:r>
        <w:rPr>
          <w:rFonts w:ascii="Dubai" w:hAnsi="Dubai" w:cs="Dubai" w:hint="cs"/>
          <w:b/>
          <w:bCs/>
          <w:color w:val="FF0000"/>
          <w:sz w:val="28"/>
          <w:szCs w:val="28"/>
          <w:rtl/>
        </w:rPr>
        <w:t xml:space="preserve">ة حول </w:t>
      </w:r>
    </w:p>
    <w:p w:rsidR="00EE5967" w:rsidRPr="00897535" w:rsidRDefault="00EE5967" w:rsidP="006C55AA">
      <w:pPr>
        <w:bidi/>
        <w:spacing w:before="120" w:after="120"/>
        <w:jc w:val="center"/>
        <w:rPr>
          <w:rFonts w:ascii="Dubai" w:hAnsi="Dubai" w:cs="Dubai"/>
          <w:b/>
          <w:bCs/>
          <w:color w:val="000000" w:themeColor="text1"/>
          <w:sz w:val="28"/>
          <w:szCs w:val="28"/>
          <w:rtl/>
        </w:rPr>
      </w:pPr>
      <w:bookmarkStart w:id="0" w:name="_GoBack"/>
      <w:r w:rsidRPr="006C55AA">
        <w:rPr>
          <w:rFonts w:ascii="Dubai" w:hAnsi="Dubai" w:cs="Dubai"/>
          <w:b/>
          <w:bCs/>
          <w:color w:val="000000" w:themeColor="text1"/>
          <w:sz w:val="28"/>
          <w:szCs w:val="28"/>
          <w:rtl/>
        </w:rPr>
        <w:t xml:space="preserve">خضوع القائمة الوطنية الخاضعة للرقابة </w:t>
      </w:r>
      <w:r>
        <w:rPr>
          <w:rFonts w:ascii="Dubai" w:hAnsi="Dubai" w:cs="Dubai" w:hint="cs"/>
          <w:b/>
          <w:bCs/>
          <w:color w:val="000000" w:themeColor="text1"/>
          <w:sz w:val="28"/>
          <w:szCs w:val="28"/>
          <w:rtl/>
        </w:rPr>
        <w:t xml:space="preserve">والتحديث عليها بشكل مرن </w:t>
      </w:r>
    </w:p>
    <w:bookmarkEnd w:id="0"/>
    <w:p w:rsidR="00EE5967" w:rsidRDefault="00EE5967" w:rsidP="00897535">
      <w:pPr>
        <w:bidi/>
        <w:spacing w:before="120" w:after="120"/>
        <w:ind w:left="-563" w:right="-426"/>
        <w:jc w:val="center"/>
        <w:rPr>
          <w:rFonts w:ascii="Dubai" w:hAnsi="Dubai" w:cs="Dubai"/>
          <w:b/>
          <w:bCs/>
          <w:color w:val="FF0000"/>
          <w:sz w:val="28"/>
          <w:szCs w:val="28"/>
          <w:rtl/>
        </w:rPr>
      </w:pPr>
      <w:r>
        <w:rPr>
          <w:rFonts w:ascii="Dubai" w:hAnsi="Dubai" w:cs="Dubai" w:hint="cs"/>
          <w:b/>
          <w:bCs/>
          <w:color w:val="FF0000"/>
          <w:sz w:val="28"/>
          <w:szCs w:val="28"/>
          <w:rtl/>
        </w:rPr>
        <w:t>مداخلة صباحية يوم ٢٦ فبراير ٢٠٢٥</w:t>
      </w:r>
    </w:p>
    <w:p w:rsidR="00EE5967" w:rsidRPr="00897535" w:rsidRDefault="00EE5967" w:rsidP="00EE5967">
      <w:pPr>
        <w:bidi/>
        <w:spacing w:before="120" w:after="120"/>
        <w:ind w:left="-563" w:right="-426"/>
        <w:rPr>
          <w:rFonts w:ascii="Dubai" w:hAnsi="Dubai" w:cs="Dubai"/>
          <w:color w:val="000000" w:themeColor="text1"/>
          <w:sz w:val="28"/>
          <w:szCs w:val="28"/>
          <w:rtl/>
          <w:lang w:bidi="ar-EG"/>
        </w:rPr>
      </w:pPr>
      <w:r w:rsidRPr="00897535">
        <w:rPr>
          <w:rFonts w:ascii="Dubai" w:hAnsi="Dubai" w:cs="Dubai" w:hint="cs"/>
          <w:color w:val="000000" w:themeColor="text1"/>
          <w:sz w:val="28"/>
          <w:szCs w:val="28"/>
          <w:rtl/>
        </w:rPr>
        <w:t xml:space="preserve">شكرا </w:t>
      </w:r>
      <w:r>
        <w:rPr>
          <w:rFonts w:ascii="Dubai" w:hAnsi="Dubai" w:cs="Dubai" w:hint="cs"/>
          <w:color w:val="000000" w:themeColor="text1"/>
          <w:sz w:val="28"/>
          <w:szCs w:val="28"/>
          <w:rtl/>
          <w:lang w:bidi="ar-EG"/>
        </w:rPr>
        <w:t xml:space="preserve">لإعطائي الكلمة، </w:t>
      </w:r>
    </w:p>
    <w:p w:rsidR="00EE5967" w:rsidRPr="00972642" w:rsidRDefault="00EE5967" w:rsidP="00EE5967">
      <w:pPr>
        <w:bidi/>
        <w:spacing w:before="120" w:after="120"/>
        <w:ind w:left="-563" w:right="-426"/>
        <w:jc w:val="both"/>
        <w:rPr>
          <w:rFonts w:ascii="Dubai" w:hAnsi="Dubai" w:cs="Dubai"/>
          <w:color w:val="000000" w:themeColor="text1"/>
          <w:sz w:val="28"/>
          <w:szCs w:val="28"/>
          <w:rtl/>
        </w:rPr>
      </w:pPr>
      <w:r>
        <w:rPr>
          <w:rFonts w:ascii="Dubai" w:hAnsi="Dubai" w:cs="Dubai" w:hint="cs"/>
          <w:color w:val="000000" w:themeColor="text1"/>
          <w:sz w:val="28"/>
          <w:szCs w:val="28"/>
          <w:rtl/>
        </w:rPr>
        <w:t xml:space="preserve">تعد عملية </w:t>
      </w:r>
      <w:r w:rsidRPr="00972642">
        <w:rPr>
          <w:rFonts w:ascii="Dubai" w:hAnsi="Dubai" w:cs="Dubai"/>
          <w:color w:val="000000" w:themeColor="text1"/>
          <w:sz w:val="28"/>
          <w:szCs w:val="28"/>
          <w:rtl/>
        </w:rPr>
        <w:t>خضوع القائمة الوطنية الخاضعة للرقابة الخاصة بمعاهدة تجارة الأسلحة للمراجعة والتحديث بشكل دوري ومرن</w:t>
      </w:r>
      <w:r>
        <w:rPr>
          <w:rFonts w:ascii="Dubai" w:hAnsi="Dubai" w:cs="Dubai" w:hint="cs"/>
          <w:color w:val="000000" w:themeColor="text1"/>
          <w:sz w:val="28"/>
          <w:szCs w:val="28"/>
          <w:rtl/>
        </w:rPr>
        <w:t xml:space="preserve">، عملية هام للغاية تضمن تعزيز تجارة الأسلحة المسؤولة عبر العالم، </w:t>
      </w:r>
      <w:r w:rsidRPr="00972642">
        <w:rPr>
          <w:rFonts w:ascii="Dubai" w:hAnsi="Dubai" w:cs="Dubai"/>
          <w:color w:val="000000" w:themeColor="text1"/>
          <w:sz w:val="28"/>
          <w:szCs w:val="28"/>
          <w:rtl/>
        </w:rPr>
        <w:t>وتعد هذه القائمة خطوة حاسمة لضمان الامتثال للمبادئ الأساسية للمعاهدة. ومع تطور التحديات الأمنية وظهور أسواق أسلحة غير قانونية وطرق تهريب جديدة، يصبح من الضروري أن تكون هذه القائمة مرنة وقابلة للتحديث بانتظام</w:t>
      </w:r>
    </w:p>
    <w:p w:rsidR="00EE5967" w:rsidRPr="00145AC3" w:rsidRDefault="00EE5967" w:rsidP="00972642">
      <w:pPr>
        <w:bidi/>
        <w:spacing w:before="120" w:after="120"/>
        <w:ind w:left="-563" w:right="-426"/>
        <w:jc w:val="both"/>
        <w:rPr>
          <w:rFonts w:ascii="Dubai" w:hAnsi="Dubai" w:cs="Dubai"/>
          <w:b/>
          <w:bCs/>
          <w:color w:val="000000" w:themeColor="text1"/>
          <w:sz w:val="28"/>
          <w:szCs w:val="28"/>
          <w:rtl/>
        </w:rPr>
      </w:pPr>
      <w:r>
        <w:rPr>
          <w:rFonts w:ascii="Dubai" w:hAnsi="Dubai" w:cs="Dubai" w:hint="cs"/>
          <w:color w:val="000000" w:themeColor="text1"/>
          <w:sz w:val="28"/>
          <w:szCs w:val="28"/>
          <w:rtl/>
        </w:rPr>
        <w:t>و</w:t>
      </w:r>
      <w:r w:rsidRPr="00972642">
        <w:rPr>
          <w:rFonts w:ascii="Dubai" w:hAnsi="Dubai" w:cs="Dubai"/>
          <w:color w:val="000000" w:themeColor="text1"/>
          <w:sz w:val="28"/>
          <w:szCs w:val="28"/>
          <w:rtl/>
        </w:rPr>
        <w:t>يساعد التحديث المنتظم للقائمة الوطنية الدول على مواكبة التطورات المستمرة في تجارة الأسلحة العالمية والتغيرات في الأنماط الأمنية داخل حدودها وحول العالم</w:t>
      </w:r>
      <w:r>
        <w:rPr>
          <w:rFonts w:ascii="Dubai" w:hAnsi="Dubai" w:cs="Dubai" w:hint="cs"/>
          <w:color w:val="000000" w:themeColor="text1"/>
          <w:sz w:val="28"/>
          <w:szCs w:val="28"/>
          <w:rtl/>
        </w:rPr>
        <w:t>، والمراجعة</w:t>
      </w:r>
      <w:r w:rsidRPr="00972642">
        <w:rPr>
          <w:rFonts w:ascii="Dubai" w:hAnsi="Dubai" w:cs="Dubai"/>
          <w:color w:val="000000" w:themeColor="text1"/>
          <w:sz w:val="28"/>
          <w:szCs w:val="28"/>
          <w:rtl/>
        </w:rPr>
        <w:t xml:space="preserve"> المرنة تعني أن الدول لن تظل ملتزمة بقائمة قديمة لا تتماشى مع الظروف الجديدة. بل ستكون قادرة على تكييف ممارساتها استجابةً للتهديدات المستجدة، مما يعزز قدرتها على </w:t>
      </w:r>
      <w:r w:rsidRPr="00145AC3">
        <w:rPr>
          <w:rFonts w:ascii="Dubai" w:hAnsi="Dubai" w:cs="Dubai"/>
          <w:b/>
          <w:bCs/>
          <w:color w:val="000000" w:themeColor="text1"/>
          <w:sz w:val="28"/>
          <w:szCs w:val="28"/>
          <w:rtl/>
        </w:rPr>
        <w:t>ضمان عدم تحويل الأسلحة إلى أطراف قد تُسهم في نشر العنف أو انتهاك حقوق الإنسان</w:t>
      </w:r>
      <w:r w:rsidRPr="00145AC3">
        <w:rPr>
          <w:rFonts w:ascii="Dubai" w:hAnsi="Dubai" w:cs="Dubai" w:hint="cs"/>
          <w:b/>
          <w:bCs/>
          <w:color w:val="000000" w:themeColor="text1"/>
          <w:sz w:val="28"/>
          <w:szCs w:val="28"/>
          <w:rtl/>
        </w:rPr>
        <w:t xml:space="preserve">. </w:t>
      </w:r>
    </w:p>
    <w:p w:rsidR="00EE5967" w:rsidRPr="00475C2C" w:rsidRDefault="00EE5967" w:rsidP="00972642">
      <w:pPr>
        <w:bidi/>
        <w:spacing w:before="120" w:after="120"/>
        <w:ind w:left="-563" w:right="-426"/>
        <w:jc w:val="both"/>
        <w:rPr>
          <w:rFonts w:ascii="Dubai" w:hAnsi="Dubai" w:cs="Dubai"/>
          <w:b/>
          <w:bCs/>
          <w:color w:val="000000" w:themeColor="text1"/>
          <w:sz w:val="28"/>
          <w:szCs w:val="28"/>
          <w:rtl/>
        </w:rPr>
      </w:pPr>
      <w:r w:rsidRPr="00972642">
        <w:rPr>
          <w:rFonts w:ascii="Dubai" w:hAnsi="Dubai" w:cs="Dubai"/>
          <w:color w:val="000000" w:themeColor="text1"/>
          <w:sz w:val="28"/>
          <w:szCs w:val="28"/>
          <w:rtl/>
        </w:rPr>
        <w:t xml:space="preserve">إضافة إلى ذلك، </w:t>
      </w:r>
      <w:r>
        <w:rPr>
          <w:rFonts w:ascii="Dubai" w:hAnsi="Dubai" w:cs="Dubai" w:hint="cs"/>
          <w:color w:val="000000" w:themeColor="text1"/>
          <w:sz w:val="28"/>
          <w:szCs w:val="28"/>
          <w:rtl/>
        </w:rPr>
        <w:t>و</w:t>
      </w:r>
      <w:r w:rsidRPr="00972642">
        <w:rPr>
          <w:rFonts w:ascii="Dubai" w:hAnsi="Dubai" w:cs="Dubai"/>
          <w:color w:val="000000" w:themeColor="text1"/>
          <w:sz w:val="28"/>
          <w:szCs w:val="28"/>
          <w:rtl/>
        </w:rPr>
        <w:t xml:space="preserve">من خلال تحديث القائمة الوطنية بانتظام، يمكن تعزيز الشفافية والمساءلة في عمليات نقل الأسلحة، وهو أمر أساسي </w:t>
      </w:r>
      <w:r w:rsidRPr="00475C2C">
        <w:rPr>
          <w:rFonts w:ascii="Dubai" w:hAnsi="Dubai" w:cs="Dubai"/>
          <w:b/>
          <w:bCs/>
          <w:color w:val="000000" w:themeColor="text1"/>
          <w:sz w:val="28"/>
          <w:szCs w:val="28"/>
          <w:rtl/>
        </w:rPr>
        <w:t>لتحقيق هدف المعاهدة في تقليل التداعيات السلبية لتجارة الأسلحة على السلام والأمن الدوليين.</w:t>
      </w:r>
    </w:p>
    <w:p w:rsidR="00EE5967" w:rsidRPr="00145AC3" w:rsidRDefault="00EE5967" w:rsidP="00972642">
      <w:pPr>
        <w:bidi/>
        <w:spacing w:before="120" w:after="120"/>
        <w:ind w:left="-563" w:right="-426"/>
        <w:jc w:val="both"/>
        <w:rPr>
          <w:rFonts w:ascii="Dubai" w:hAnsi="Dubai" w:cs="Dubai"/>
          <w:b/>
          <w:bCs/>
          <w:color w:val="000000" w:themeColor="text1"/>
          <w:sz w:val="28"/>
          <w:szCs w:val="28"/>
          <w:rtl/>
        </w:rPr>
      </w:pPr>
      <w:r>
        <w:rPr>
          <w:rFonts w:ascii="Dubai" w:hAnsi="Dubai" w:cs="Dubai" w:hint="cs"/>
          <w:color w:val="000000" w:themeColor="text1"/>
          <w:sz w:val="28"/>
          <w:szCs w:val="28"/>
          <w:rtl/>
        </w:rPr>
        <w:t xml:space="preserve">كذلك يعد تبادل الممارسات الوطنية بين الدول بخصوص إعداد القائمة الوطنية وخضوعها للرقابة أمرًا جديدًا بالاهتمام </w:t>
      </w:r>
      <w:r w:rsidRPr="00972642">
        <w:rPr>
          <w:rFonts w:ascii="Dubai" w:hAnsi="Dubai" w:cs="Dubai"/>
          <w:color w:val="000000" w:themeColor="text1"/>
          <w:sz w:val="28"/>
          <w:szCs w:val="28"/>
          <w:rtl/>
        </w:rPr>
        <w:t xml:space="preserve">يمكن أن تقدم لنا دروسًا قيّمة </w:t>
      </w:r>
      <w:r w:rsidRPr="00145AC3">
        <w:rPr>
          <w:rFonts w:ascii="Dubai" w:hAnsi="Dubai" w:cs="Dubai"/>
          <w:b/>
          <w:bCs/>
          <w:color w:val="000000" w:themeColor="text1"/>
          <w:sz w:val="28"/>
          <w:szCs w:val="28"/>
          <w:rtl/>
        </w:rPr>
        <w:t>حول كيفية تعزيز المراقبة والرقابة على عمليات تصدير واستيراد الأسلحة، ومن ثم تحسين تلك العمليات بشكل مشترك</w:t>
      </w:r>
      <w:r w:rsidRPr="00145AC3">
        <w:rPr>
          <w:rFonts w:ascii="Dubai" w:hAnsi="Dubai" w:cs="Dubai" w:hint="cs"/>
          <w:b/>
          <w:bCs/>
          <w:color w:val="000000" w:themeColor="text1"/>
          <w:sz w:val="28"/>
          <w:szCs w:val="28"/>
          <w:rtl/>
        </w:rPr>
        <w:t>، و</w:t>
      </w:r>
      <w:r w:rsidRPr="00145AC3">
        <w:rPr>
          <w:rFonts w:ascii="Dubai" w:hAnsi="Dubai" w:cs="Dubai"/>
          <w:b/>
          <w:bCs/>
          <w:color w:val="000000" w:themeColor="text1"/>
          <w:sz w:val="28"/>
          <w:szCs w:val="28"/>
          <w:rtl/>
        </w:rPr>
        <w:t xml:space="preserve">تساعد ورش العمل الدولية والمنتديات الإقليمية في </w:t>
      </w:r>
      <w:r w:rsidRPr="00145AC3">
        <w:rPr>
          <w:rFonts w:ascii="Dubai" w:hAnsi="Dubai" w:cs="Dubai" w:hint="cs"/>
          <w:b/>
          <w:bCs/>
          <w:color w:val="000000" w:themeColor="text1"/>
          <w:sz w:val="28"/>
          <w:szCs w:val="28"/>
          <w:rtl/>
        </w:rPr>
        <w:t>تحقيق ذلك الأمر وتبادل الخبرات</w:t>
      </w:r>
      <w:r w:rsidRPr="00145AC3">
        <w:rPr>
          <w:rFonts w:ascii="Dubai" w:hAnsi="Dubai" w:cs="Dubai"/>
          <w:b/>
          <w:bCs/>
          <w:color w:val="000000" w:themeColor="text1"/>
          <w:sz w:val="28"/>
          <w:szCs w:val="28"/>
          <w:rtl/>
        </w:rPr>
        <w:t>، مما يعزز التفاهم المتبادل ويؤدي إلى تحسين أساليب المراقبة الوطنية.</w:t>
      </w:r>
    </w:p>
    <w:p w:rsidR="00EE5967" w:rsidRPr="00475C2C" w:rsidRDefault="00EE5967" w:rsidP="00145AC3">
      <w:pPr>
        <w:bidi/>
        <w:spacing w:before="120" w:after="120"/>
        <w:ind w:left="-563" w:right="-426"/>
        <w:jc w:val="both"/>
        <w:rPr>
          <w:rFonts w:ascii="Dubai" w:hAnsi="Dubai" w:cs="Dubai"/>
          <w:b/>
          <w:bCs/>
          <w:color w:val="000000" w:themeColor="text1"/>
          <w:sz w:val="28"/>
          <w:szCs w:val="28"/>
          <w:rtl/>
        </w:rPr>
      </w:pPr>
      <w:r>
        <w:rPr>
          <w:rFonts w:ascii="Dubai" w:hAnsi="Dubai" w:cs="Dubai" w:hint="cs"/>
          <w:color w:val="000000" w:themeColor="text1"/>
          <w:sz w:val="28"/>
          <w:szCs w:val="28"/>
          <w:rtl/>
        </w:rPr>
        <w:t xml:space="preserve">وفي الفترة الأخيرة انضمت العديد من الدول إلي معاهدة تجارة الأسلحة </w:t>
      </w:r>
      <w:r w:rsidRPr="00475C2C">
        <w:rPr>
          <w:rFonts w:ascii="Dubai" w:hAnsi="Dubai" w:cs="Dubai" w:hint="cs"/>
          <w:b/>
          <w:bCs/>
          <w:color w:val="000000" w:themeColor="text1"/>
          <w:sz w:val="28"/>
          <w:szCs w:val="28"/>
          <w:rtl/>
        </w:rPr>
        <w:t xml:space="preserve">بما في ذلك كولومبيا ومالاوي وغامبيا، ولهذا تؤكد مؤسسة ماعت أن عمليات </w:t>
      </w:r>
      <w:r w:rsidRPr="00475C2C">
        <w:rPr>
          <w:rFonts w:ascii="Dubai" w:hAnsi="Dubai" w:cs="Dubai"/>
          <w:b/>
          <w:bCs/>
          <w:color w:val="000000" w:themeColor="text1"/>
          <w:sz w:val="28"/>
          <w:szCs w:val="28"/>
          <w:rtl/>
        </w:rPr>
        <w:t>إنشاء قائمة الرقابة الوطنية</w:t>
      </w:r>
      <w:r w:rsidRPr="00475C2C">
        <w:rPr>
          <w:rFonts w:ascii="Dubai" w:hAnsi="Dubai" w:cs="Dubai" w:hint="cs"/>
          <w:b/>
          <w:bCs/>
          <w:color w:val="000000" w:themeColor="text1"/>
          <w:sz w:val="28"/>
          <w:szCs w:val="28"/>
          <w:rtl/>
        </w:rPr>
        <w:t xml:space="preserve"> في تلك الدول المٌنضمة حديثًا إلي المعاهدة لأبد وأن يتضمن عدد من الهيئات والوكالات المختلفة داخل الدولة بما في ذلك إدارة الجمارك ومراقبة الحدود والمسؤولين في القوات المسلحة والشرطة ومسؤولين في </w:t>
      </w:r>
      <w:r w:rsidRPr="00475C2C">
        <w:rPr>
          <w:rFonts w:ascii="Dubai" w:hAnsi="Dubai" w:cs="Dubai" w:hint="cs"/>
          <w:b/>
          <w:bCs/>
          <w:color w:val="000000" w:themeColor="text1"/>
          <w:sz w:val="28"/>
          <w:szCs w:val="28"/>
          <w:rtl/>
        </w:rPr>
        <w:lastRenderedPageBreak/>
        <w:t xml:space="preserve">وزارة العدل والسلطات القضائية، ومسؤولين في وزارة المالية، الأخذ في الاعتبار آراء ممثلين شركات الأسلحة المحلية </w:t>
      </w:r>
      <w:r w:rsidRPr="00475C2C">
        <w:rPr>
          <w:rFonts w:ascii="Dubai" w:hAnsi="Dubai" w:cs="Dubai"/>
          <w:b/>
          <w:bCs/>
          <w:color w:val="000000" w:themeColor="text1"/>
          <w:sz w:val="28"/>
          <w:szCs w:val="28"/>
          <w:rtl/>
        </w:rPr>
        <w:t>مثل مصنعي الأسلحة والذخيرة وموزعيها ومصدريها</w:t>
      </w:r>
      <w:r w:rsidRPr="00475C2C">
        <w:rPr>
          <w:rFonts w:ascii="Dubai" w:hAnsi="Dubai" w:cs="Dubai" w:hint="cs"/>
          <w:b/>
          <w:bCs/>
          <w:color w:val="000000" w:themeColor="text1"/>
          <w:sz w:val="28"/>
          <w:szCs w:val="28"/>
          <w:rtl/>
        </w:rPr>
        <w:t xml:space="preserve">. </w:t>
      </w:r>
    </w:p>
    <w:p w:rsidR="00EE5967" w:rsidRPr="00145AC3" w:rsidRDefault="00EE5967" w:rsidP="003B5751">
      <w:pPr>
        <w:bidi/>
        <w:spacing w:before="120" w:after="120"/>
        <w:ind w:left="-563" w:right="-426"/>
        <w:jc w:val="both"/>
        <w:rPr>
          <w:rFonts w:ascii="Dubai" w:hAnsi="Dubai" w:cs="Dubai"/>
          <w:b/>
          <w:bCs/>
          <w:color w:val="000000" w:themeColor="text1"/>
          <w:sz w:val="28"/>
          <w:szCs w:val="28"/>
          <w:rtl/>
        </w:rPr>
      </w:pPr>
      <w:r>
        <w:rPr>
          <w:rFonts w:ascii="Dubai" w:hAnsi="Dubai" w:cs="Dubai" w:hint="cs"/>
          <w:color w:val="000000" w:themeColor="text1"/>
          <w:sz w:val="28"/>
          <w:szCs w:val="28"/>
          <w:rtl/>
        </w:rPr>
        <w:t xml:space="preserve">وتوصي ماعت الدول الأطراف في المعاهدة </w:t>
      </w:r>
      <w:r w:rsidRPr="00145AC3">
        <w:rPr>
          <w:rFonts w:ascii="Dubai" w:hAnsi="Dubai" w:cs="Dubai" w:hint="cs"/>
          <w:b/>
          <w:bCs/>
          <w:color w:val="000000" w:themeColor="text1"/>
          <w:sz w:val="28"/>
          <w:szCs w:val="28"/>
          <w:rtl/>
        </w:rPr>
        <w:t xml:space="preserve">بضرورة </w:t>
      </w:r>
      <w:r w:rsidRPr="00145AC3">
        <w:rPr>
          <w:rFonts w:ascii="Dubai" w:hAnsi="Dubai" w:cs="Dubai"/>
          <w:b/>
          <w:bCs/>
          <w:color w:val="000000" w:themeColor="text1"/>
          <w:sz w:val="28"/>
          <w:szCs w:val="28"/>
          <w:rtl/>
        </w:rPr>
        <w:t>تطوير آلية دورية (سنوية أو نصف سنوية) لمراجعة وتحديث القائمة الوطنية الخاضعة للرقابة. هذه المراجعة يجب أن تشمل تحديث بيانات الأسلحة الجديدة أو التكنولوجيات العسكرية التي ظهرت في الأسواق.</w:t>
      </w:r>
    </w:p>
    <w:p w:rsidR="00EE5967" w:rsidRPr="00145AC3" w:rsidRDefault="00EE5967" w:rsidP="00EE5967">
      <w:pPr>
        <w:bidi/>
        <w:spacing w:before="120" w:after="120"/>
        <w:ind w:left="-563" w:right="-426"/>
        <w:jc w:val="both"/>
        <w:rPr>
          <w:rFonts w:ascii="Dubai" w:hAnsi="Dubai" w:cs="Dubai"/>
          <w:color w:val="000000" w:themeColor="text1"/>
          <w:sz w:val="28"/>
          <w:szCs w:val="28"/>
          <w:rtl/>
        </w:rPr>
      </w:pPr>
      <w:r>
        <w:rPr>
          <w:rFonts w:ascii="Dubai" w:hAnsi="Dubai" w:cs="Dubai" w:hint="cs"/>
          <w:color w:val="000000" w:themeColor="text1"/>
          <w:sz w:val="28"/>
          <w:szCs w:val="28"/>
          <w:rtl/>
        </w:rPr>
        <w:t xml:space="preserve">مع ضرورة </w:t>
      </w:r>
      <w:r w:rsidRPr="005F281C">
        <w:rPr>
          <w:rFonts w:ascii="Dubai" w:hAnsi="Dubai" w:cs="Dubai"/>
          <w:color w:val="000000" w:themeColor="text1"/>
          <w:sz w:val="28"/>
          <w:szCs w:val="28"/>
          <w:rtl/>
        </w:rPr>
        <w:t>توفير الدعم الفني والمالي للدول المنضمة حديثً</w:t>
      </w:r>
      <w:r>
        <w:rPr>
          <w:rFonts w:ascii="Dubai" w:hAnsi="Dubai" w:cs="Dubai"/>
          <w:color w:val="000000" w:themeColor="text1"/>
          <w:sz w:val="28"/>
          <w:szCs w:val="28"/>
          <w:rtl/>
        </w:rPr>
        <w:t xml:space="preserve">ا إلى معاهدة تجارة الأسلحة، </w:t>
      </w:r>
      <w:r w:rsidRPr="005F281C">
        <w:rPr>
          <w:rFonts w:ascii="Dubai" w:hAnsi="Dubai" w:cs="Dubai"/>
          <w:b/>
          <w:bCs/>
          <w:color w:val="000000" w:themeColor="text1"/>
          <w:sz w:val="28"/>
          <w:szCs w:val="28"/>
          <w:rtl/>
        </w:rPr>
        <w:t>لتسهيل عملية إعداد وتنفيذ قوائم الرقابة الوطنية الخاصة بها. يشمل ذلك توفير الخبرات الاستشارية والتدريب للأجهزة الحكومية المعنية بتنظيم تجارة الأسلحة لضمان توافقها مع المعايير الدولية التي تضمن الشفافية والمساءلة.</w:t>
      </w:r>
    </w:p>
    <w:p w:rsidR="00EE5967" w:rsidRDefault="00EE5967" w:rsidP="00145AC3">
      <w:pPr>
        <w:bidi/>
        <w:spacing w:before="120" w:after="120"/>
        <w:ind w:left="-563" w:right="-426"/>
        <w:jc w:val="both"/>
        <w:rPr>
          <w:rFonts w:ascii="Dubai" w:hAnsi="Dubai" w:cs="Dubai"/>
          <w:color w:val="000000" w:themeColor="text1"/>
          <w:sz w:val="28"/>
          <w:szCs w:val="28"/>
          <w:rtl/>
        </w:rPr>
      </w:pPr>
    </w:p>
    <w:p w:rsidR="00EE5967" w:rsidRDefault="00EE5967" w:rsidP="00972642">
      <w:pPr>
        <w:bidi/>
        <w:spacing w:before="120" w:after="120"/>
        <w:ind w:left="-563" w:right="-426"/>
        <w:jc w:val="both"/>
        <w:rPr>
          <w:rFonts w:ascii="Dubai" w:hAnsi="Dubai" w:cs="Dubai"/>
          <w:color w:val="000000" w:themeColor="text1"/>
          <w:sz w:val="28"/>
          <w:szCs w:val="28"/>
          <w:rtl/>
        </w:rPr>
      </w:pPr>
    </w:p>
    <w:p w:rsidR="00EE5967" w:rsidRPr="00897535" w:rsidRDefault="00EE5967" w:rsidP="00972642">
      <w:pPr>
        <w:bidi/>
        <w:spacing w:before="120" w:after="120"/>
        <w:ind w:left="-563" w:right="-426"/>
        <w:jc w:val="both"/>
        <w:rPr>
          <w:rFonts w:ascii="Dubai" w:hAnsi="Dubai" w:cs="Dubai"/>
          <w:color w:val="000000" w:themeColor="text1"/>
          <w:sz w:val="28"/>
          <w:szCs w:val="28"/>
        </w:rPr>
      </w:pPr>
    </w:p>
    <w:p w:rsidR="00C41B4E" w:rsidRPr="00EE5967" w:rsidRDefault="00C41B4E" w:rsidP="00EE5967">
      <w:pPr>
        <w:rPr>
          <w:rtl/>
          <w:lang w:bidi="ar-EG"/>
        </w:rPr>
      </w:pPr>
    </w:p>
    <w:sectPr w:rsidR="00C41B4E" w:rsidRPr="00EE5967" w:rsidSect="006B714E">
      <w:headerReference w:type="default" r:id="rId8"/>
      <w:footerReference w:type="default" r:id="rId9"/>
      <w:headerReference w:type="first" r:id="rId10"/>
      <w:footerReference w:type="first" r:id="rId11"/>
      <w:pgSz w:w="11907" w:h="16840" w:code="9"/>
      <w:pgMar w:top="1134" w:right="992" w:bottom="567" w:left="99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F0A" w:rsidRDefault="00817F0A" w:rsidP="00CF1B4C">
      <w:pPr>
        <w:spacing w:after="0" w:line="240" w:lineRule="auto"/>
      </w:pPr>
      <w:r>
        <w:separator/>
      </w:r>
    </w:p>
  </w:endnote>
  <w:endnote w:type="continuationSeparator" w:id="0">
    <w:p w:rsidR="00817F0A" w:rsidRDefault="00817F0A" w:rsidP="00CF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Dubai">
    <w:altName w:val="Segoe UI"/>
    <w:charset w:val="00"/>
    <w:family w:val="swiss"/>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605283"/>
      <w:docPartObj>
        <w:docPartGallery w:val="Page Numbers (Bottom of Page)"/>
        <w:docPartUnique/>
      </w:docPartObj>
    </w:sdtPr>
    <w:sdtEndPr>
      <w:rPr>
        <w:noProof/>
      </w:rPr>
    </w:sdtEndPr>
    <w:sdtContent>
      <w:p w:rsidR="005E0A46" w:rsidRDefault="006B714E">
        <w:pPr>
          <w:pStyle w:val="Footer"/>
          <w:jc w:val="center"/>
        </w:pPr>
        <w:r w:rsidRPr="006B714E">
          <w:rPr>
            <w:b/>
            <w:bCs/>
            <w:noProof/>
          </w:rPr>
          <w:drawing>
            <wp:anchor distT="0" distB="0" distL="114300" distR="114300" simplePos="0" relativeHeight="251661312" behindDoc="1" locked="0" layoutInCell="1" allowOverlap="1" wp14:anchorId="34EFABE8" wp14:editId="69A2A418">
              <wp:simplePos x="0" y="0"/>
              <wp:positionH relativeFrom="page">
                <wp:posOffset>20320</wp:posOffset>
              </wp:positionH>
              <wp:positionV relativeFrom="paragraph">
                <wp:posOffset>231140</wp:posOffset>
              </wp:positionV>
              <wp:extent cx="7743825" cy="67056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er blank wz water mark final.jpg"/>
                      <pic:cNvPicPr/>
                    </pic:nvPicPr>
                    <pic:blipFill rotWithShape="1">
                      <a:blip r:embed="rId1" cstate="print">
                        <a:extLst>
                          <a:ext uri="{28A0092B-C50C-407E-A947-70E740481C1C}">
                            <a14:useLocalDpi xmlns:a14="http://schemas.microsoft.com/office/drawing/2010/main" val="0"/>
                          </a:ext>
                        </a:extLst>
                      </a:blip>
                      <a:srcRect l="3247" t="96152" r="-3247" b="-2793"/>
                      <a:stretch/>
                    </pic:blipFill>
                    <pic:spPr bwMode="auto">
                      <a:xfrm>
                        <a:off x="0" y="0"/>
                        <a:ext cx="7743825"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0A46" w:rsidRPr="006B714E">
          <w:rPr>
            <w:b/>
            <w:bCs/>
          </w:rPr>
          <w:fldChar w:fldCharType="begin"/>
        </w:r>
        <w:r w:rsidR="005E0A46" w:rsidRPr="006B714E">
          <w:rPr>
            <w:b/>
            <w:bCs/>
          </w:rPr>
          <w:instrText xml:space="preserve"> PAGE   \* MERGEFORMAT </w:instrText>
        </w:r>
        <w:r w:rsidR="005E0A46" w:rsidRPr="006B714E">
          <w:rPr>
            <w:b/>
            <w:bCs/>
          </w:rPr>
          <w:fldChar w:fldCharType="separate"/>
        </w:r>
        <w:r w:rsidR="00EE5967">
          <w:rPr>
            <w:b/>
            <w:bCs/>
            <w:noProof/>
          </w:rPr>
          <w:t>1</w:t>
        </w:r>
        <w:r w:rsidR="005E0A46" w:rsidRPr="006B714E">
          <w:rPr>
            <w:b/>
            <w:bCs/>
            <w:noProof/>
          </w:rPr>
          <w:fldChar w:fldCharType="end"/>
        </w:r>
      </w:p>
    </w:sdtContent>
  </w:sdt>
  <w:p w:rsidR="00AC72CC" w:rsidRDefault="00AC72C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44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6"/>
      <w:gridCol w:w="601"/>
      <w:gridCol w:w="1353"/>
      <w:gridCol w:w="568"/>
      <w:gridCol w:w="1921"/>
      <w:gridCol w:w="436"/>
      <w:gridCol w:w="4529"/>
    </w:tblGrid>
    <w:tr w:rsidR="006B714E" w:rsidTr="0036671B">
      <w:trPr>
        <w:jc w:val="center"/>
      </w:trPr>
      <w:tc>
        <w:tcPr>
          <w:tcW w:w="646" w:type="pct"/>
          <w:vMerge w:val="restart"/>
          <w:vAlign w:val="center"/>
        </w:tcPr>
        <w:p w:rsidR="006B714E" w:rsidRDefault="006B714E" w:rsidP="006B714E">
          <w:pPr>
            <w:spacing w:after="60" w:line="240" w:lineRule="auto"/>
            <w:jc w:val="center"/>
            <w:rPr>
              <w:noProof/>
              <w:rtl/>
            </w:rPr>
          </w:pPr>
          <w:r>
            <w:rPr>
              <w:rFonts w:hint="cs"/>
              <w:noProof/>
            </w:rPr>
            <w:drawing>
              <wp:inline distT="0" distB="0" distL="0" distR="0" wp14:anchorId="1117817C" wp14:editId="4DCF30C3">
                <wp:extent cx="721378" cy="560173"/>
                <wp:effectExtent l="0" t="0" r="2540" b="0"/>
                <wp:docPr id="2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729535" cy="5665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54" w:type="pct"/>
          <w:gridSpan w:val="6"/>
        </w:tcPr>
        <w:p w:rsidR="006B714E" w:rsidRDefault="006B714E" w:rsidP="006B714E">
          <w:pPr>
            <w:spacing w:after="60" w:line="240" w:lineRule="auto"/>
            <w:rPr>
              <w:rFonts w:ascii="Times New Roman" w:hAnsi="Times New Roman" w:cs="Times New Roman"/>
              <w:b/>
              <w:bCs/>
              <w:color w:val="000066"/>
              <w:sz w:val="20"/>
              <w:szCs w:val="20"/>
            </w:rPr>
          </w:pPr>
        </w:p>
        <w:p w:rsidR="006B714E" w:rsidRPr="00EB74DC" w:rsidRDefault="006B714E" w:rsidP="006B714E">
          <w:pPr>
            <w:spacing w:after="60" w:line="240" w:lineRule="auto"/>
            <w:jc w:val="center"/>
            <w:rPr>
              <w:rFonts w:ascii="Times New Roman" w:hAnsi="Times New Roman" w:cs="Times New Roman"/>
              <w:b/>
              <w:bCs/>
              <w:color w:val="3333FF"/>
              <w:sz w:val="20"/>
              <w:szCs w:val="20"/>
            </w:rPr>
          </w:pPr>
          <w:r w:rsidRPr="00EB74DC">
            <w:rPr>
              <w:rFonts w:ascii="Times New Roman" w:hAnsi="Times New Roman" w:cs="Times New Roman"/>
              <w:b/>
              <w:bCs/>
              <w:color w:val="3333FF"/>
              <w:sz w:val="20"/>
              <w:szCs w:val="20"/>
            </w:rPr>
            <w:t>Organization in special consultative status with the Economic and Social Council since 2016</w:t>
          </w:r>
        </w:p>
      </w:tc>
    </w:tr>
    <w:tr w:rsidR="006B714E" w:rsidTr="0036671B">
      <w:trPr>
        <w:jc w:val="center"/>
      </w:trPr>
      <w:tc>
        <w:tcPr>
          <w:tcW w:w="646" w:type="pct"/>
          <w:vMerge/>
        </w:tcPr>
        <w:p w:rsidR="006B714E" w:rsidRDefault="006B714E" w:rsidP="006B714E">
          <w:pPr>
            <w:spacing w:after="0"/>
            <w:jc w:val="center"/>
            <w:rPr>
              <w:b/>
              <w:bCs/>
              <w:noProof/>
              <w:lang w:bidi="ar-EG"/>
            </w:rPr>
          </w:pPr>
        </w:p>
      </w:tc>
      <w:tc>
        <w:tcPr>
          <w:tcW w:w="278" w:type="pct"/>
          <w:vMerge w:val="restart"/>
          <w:vAlign w:val="center"/>
        </w:tcPr>
        <w:p w:rsidR="006B714E" w:rsidRPr="000F15D5" w:rsidRDefault="006B714E" w:rsidP="006B714E">
          <w:pPr>
            <w:spacing w:after="0"/>
            <w:jc w:val="center"/>
            <w:rPr>
              <w:b/>
              <w:bCs/>
              <w:lang w:bidi="ar-EG"/>
            </w:rPr>
          </w:pPr>
          <w:r>
            <w:rPr>
              <w:b/>
              <w:bCs/>
              <w:noProof/>
            </w:rPr>
            <w:drawing>
              <wp:inline distT="0" distB="0" distL="0" distR="0" wp14:anchorId="208E83F4" wp14:editId="1668FCB0">
                <wp:extent cx="113208" cy="180000"/>
                <wp:effectExtent l="0" t="0" r="127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208" cy="180000"/>
                        </a:xfrm>
                        <a:prstGeom prst="rect">
                          <a:avLst/>
                        </a:prstGeom>
                      </pic:spPr>
                    </pic:pic>
                  </a:graphicData>
                </a:graphic>
              </wp:inline>
            </w:drawing>
          </w:r>
        </w:p>
      </w:tc>
      <w:tc>
        <w:tcPr>
          <w:tcW w:w="4076" w:type="pct"/>
          <w:gridSpan w:val="5"/>
          <w:vAlign w:val="center"/>
        </w:tcPr>
        <w:p w:rsidR="006B714E" w:rsidRPr="000F15D5" w:rsidRDefault="006B714E" w:rsidP="006B714E">
          <w:pPr>
            <w:spacing w:after="0"/>
            <w:ind w:left="-57"/>
            <w:rPr>
              <w:rFonts w:asciiTheme="majorBidi" w:hAnsiTheme="majorBidi" w:cstheme="majorBidi"/>
              <w:color w:val="000000"/>
              <w:sz w:val="18"/>
              <w:szCs w:val="18"/>
              <w:shd w:val="clear" w:color="auto" w:fill="FFFFFF"/>
            </w:rPr>
          </w:pPr>
          <w:r w:rsidRPr="0086433E">
            <w:rPr>
              <w:rFonts w:asciiTheme="majorBidi" w:eastAsia="Times New Roman" w:hAnsiTheme="majorBidi" w:cstheme="majorBidi"/>
              <w:b/>
              <w:bCs/>
              <w:color w:val="000000"/>
              <w:sz w:val="18"/>
              <w:szCs w:val="18"/>
            </w:rPr>
            <w:t>Headquarters</w:t>
          </w:r>
          <w:r>
            <w:rPr>
              <w:rFonts w:asciiTheme="majorBidi" w:eastAsia="Times New Roman" w:hAnsiTheme="majorBidi" w:cstheme="majorBidi"/>
              <w:color w:val="000000"/>
              <w:sz w:val="18"/>
              <w:szCs w:val="18"/>
            </w:rPr>
            <w:t>:</w:t>
          </w:r>
          <w:r w:rsidRPr="000F15D5">
            <w:rPr>
              <w:rFonts w:asciiTheme="majorBidi" w:eastAsia="Times New Roman" w:hAnsiTheme="majorBidi" w:cstheme="majorBidi"/>
              <w:color w:val="000000"/>
              <w:sz w:val="18"/>
              <w:szCs w:val="18"/>
            </w:rPr>
            <w:t xml:space="preserve">148 </w:t>
          </w:r>
          <w:proofErr w:type="spellStart"/>
          <w:r w:rsidRPr="000F15D5">
            <w:rPr>
              <w:rFonts w:asciiTheme="majorBidi" w:eastAsia="Times New Roman" w:hAnsiTheme="majorBidi" w:cstheme="majorBidi"/>
              <w:color w:val="000000"/>
              <w:sz w:val="18"/>
              <w:szCs w:val="18"/>
            </w:rPr>
            <w:t>Misr</w:t>
          </w:r>
          <w:proofErr w:type="spellEnd"/>
          <w:r w:rsidRPr="000F15D5">
            <w:rPr>
              <w:rFonts w:asciiTheme="majorBidi" w:eastAsia="Times New Roman" w:hAnsiTheme="majorBidi" w:cstheme="majorBidi"/>
              <w:color w:val="000000"/>
              <w:sz w:val="18"/>
              <w:szCs w:val="18"/>
            </w:rPr>
            <w:t xml:space="preserve"> </w:t>
          </w:r>
          <w:proofErr w:type="spellStart"/>
          <w:r w:rsidRPr="000F15D5">
            <w:rPr>
              <w:rFonts w:asciiTheme="majorBidi" w:eastAsia="Times New Roman" w:hAnsiTheme="majorBidi" w:cstheme="majorBidi"/>
              <w:color w:val="000000"/>
              <w:sz w:val="18"/>
              <w:szCs w:val="18"/>
            </w:rPr>
            <w:t>Helwan</w:t>
          </w:r>
          <w:proofErr w:type="spellEnd"/>
          <w:r w:rsidRPr="000F15D5">
            <w:rPr>
              <w:rFonts w:asciiTheme="majorBidi" w:eastAsia="Times New Roman" w:hAnsiTheme="majorBidi" w:cstheme="majorBidi"/>
              <w:color w:val="000000"/>
              <w:sz w:val="18"/>
              <w:szCs w:val="18"/>
            </w:rPr>
            <w:t xml:space="preserve"> El-</w:t>
          </w:r>
          <w:proofErr w:type="spellStart"/>
          <w:r w:rsidRPr="000F15D5">
            <w:rPr>
              <w:rFonts w:asciiTheme="majorBidi" w:eastAsia="Times New Roman" w:hAnsiTheme="majorBidi" w:cstheme="majorBidi"/>
              <w:color w:val="000000"/>
              <w:sz w:val="18"/>
              <w:szCs w:val="18"/>
            </w:rPr>
            <w:t>Zyrae</w:t>
          </w:r>
          <w:proofErr w:type="spellEnd"/>
          <w:r w:rsidRPr="000F15D5">
            <w:rPr>
              <w:rFonts w:asciiTheme="majorBidi" w:eastAsia="Times New Roman" w:hAnsiTheme="majorBidi" w:cstheme="majorBidi"/>
              <w:color w:val="000000"/>
              <w:sz w:val="18"/>
              <w:szCs w:val="18"/>
            </w:rPr>
            <w:t xml:space="preserve"> Road, El </w:t>
          </w:r>
          <w:proofErr w:type="spellStart"/>
          <w:r w:rsidRPr="000F15D5">
            <w:rPr>
              <w:rFonts w:asciiTheme="majorBidi" w:eastAsia="Times New Roman" w:hAnsiTheme="majorBidi" w:cstheme="majorBidi"/>
              <w:color w:val="000000"/>
              <w:sz w:val="18"/>
              <w:szCs w:val="18"/>
            </w:rPr>
            <w:t>Matbaa</w:t>
          </w:r>
          <w:proofErr w:type="spellEnd"/>
          <w:r w:rsidRPr="000F15D5">
            <w:rPr>
              <w:rFonts w:asciiTheme="majorBidi" w:eastAsia="Times New Roman" w:hAnsiTheme="majorBidi" w:cstheme="majorBidi"/>
              <w:color w:val="000000"/>
              <w:sz w:val="18"/>
              <w:szCs w:val="18"/>
              <w:rtl/>
            </w:rPr>
            <w:t xml:space="preserve"> </w:t>
          </w:r>
          <w:proofErr w:type="spellStart"/>
          <w:r w:rsidRPr="000F15D5">
            <w:rPr>
              <w:rFonts w:asciiTheme="majorBidi" w:eastAsia="Times New Roman" w:hAnsiTheme="majorBidi" w:cstheme="majorBidi"/>
              <w:color w:val="000000"/>
              <w:sz w:val="18"/>
              <w:szCs w:val="18"/>
            </w:rPr>
            <w:t>Sq</w:t>
          </w:r>
          <w:proofErr w:type="spellEnd"/>
          <w:r w:rsidRPr="000F15D5">
            <w:rPr>
              <w:rFonts w:asciiTheme="majorBidi" w:eastAsia="Times New Roman" w:hAnsiTheme="majorBidi" w:cstheme="majorBidi"/>
              <w:color w:val="000000"/>
              <w:sz w:val="18"/>
              <w:szCs w:val="18"/>
            </w:rPr>
            <w:t xml:space="preserve">, </w:t>
          </w:r>
          <w:proofErr w:type="spellStart"/>
          <w:r w:rsidRPr="000F15D5">
            <w:rPr>
              <w:rFonts w:asciiTheme="majorBidi" w:eastAsia="Times New Roman" w:hAnsiTheme="majorBidi" w:cstheme="majorBidi"/>
              <w:color w:val="000000"/>
              <w:sz w:val="18"/>
              <w:szCs w:val="18"/>
            </w:rPr>
            <w:t>Hadayek</w:t>
          </w:r>
          <w:proofErr w:type="spellEnd"/>
          <w:r w:rsidRPr="000F15D5">
            <w:rPr>
              <w:rFonts w:asciiTheme="majorBidi" w:eastAsia="Times New Roman" w:hAnsiTheme="majorBidi" w:cstheme="majorBidi"/>
              <w:color w:val="000000"/>
              <w:sz w:val="18"/>
              <w:szCs w:val="18"/>
            </w:rPr>
            <w:t xml:space="preserve"> El </w:t>
          </w:r>
          <w:proofErr w:type="spellStart"/>
          <w:r w:rsidRPr="000F15D5">
            <w:rPr>
              <w:rFonts w:asciiTheme="majorBidi" w:eastAsia="Times New Roman" w:hAnsiTheme="majorBidi" w:cstheme="majorBidi"/>
              <w:color w:val="000000"/>
              <w:sz w:val="18"/>
              <w:szCs w:val="18"/>
            </w:rPr>
            <w:t>Maadi</w:t>
          </w:r>
          <w:proofErr w:type="spellEnd"/>
          <w:r w:rsidRPr="000F15D5">
            <w:rPr>
              <w:rFonts w:asciiTheme="majorBidi" w:eastAsia="Times New Roman" w:hAnsiTheme="majorBidi" w:cstheme="majorBidi"/>
              <w:color w:val="000000"/>
              <w:sz w:val="18"/>
              <w:szCs w:val="18"/>
            </w:rPr>
            <w:t>, 4</w:t>
          </w:r>
          <w:r w:rsidRPr="000F15D5">
            <w:rPr>
              <w:rFonts w:asciiTheme="majorBidi" w:eastAsia="Times New Roman" w:hAnsiTheme="majorBidi" w:cstheme="majorBidi"/>
              <w:color w:val="000000"/>
              <w:sz w:val="18"/>
              <w:szCs w:val="18"/>
              <w:vertAlign w:val="superscript"/>
            </w:rPr>
            <w:t>th</w:t>
          </w:r>
          <w:r w:rsidRPr="000F15D5">
            <w:rPr>
              <w:rFonts w:asciiTheme="majorBidi" w:eastAsia="Times New Roman" w:hAnsiTheme="majorBidi" w:cstheme="majorBidi"/>
              <w:color w:val="000000"/>
              <w:sz w:val="18"/>
              <w:szCs w:val="18"/>
            </w:rPr>
            <w:t xml:space="preserve"> Floor, No 41, Cairo, Egypt</w:t>
          </w:r>
          <w:r w:rsidRPr="000F15D5">
            <w:rPr>
              <w:rFonts w:asciiTheme="majorBidi" w:eastAsia="Times New Roman" w:hAnsiTheme="majorBidi" w:cstheme="majorBidi"/>
              <w:color w:val="FF0000"/>
              <w:sz w:val="18"/>
              <w:szCs w:val="18"/>
            </w:rPr>
            <w:t xml:space="preserve"> </w:t>
          </w:r>
        </w:p>
      </w:tc>
    </w:tr>
    <w:tr w:rsidR="006B714E" w:rsidTr="0036671B">
      <w:trPr>
        <w:jc w:val="center"/>
      </w:trPr>
      <w:tc>
        <w:tcPr>
          <w:tcW w:w="646" w:type="pct"/>
          <w:vMerge/>
        </w:tcPr>
        <w:p w:rsidR="006B714E" w:rsidRDefault="006B714E" w:rsidP="006B714E">
          <w:pPr>
            <w:spacing w:after="0"/>
            <w:jc w:val="center"/>
            <w:rPr>
              <w:lang w:bidi="ar-EG"/>
            </w:rPr>
          </w:pPr>
        </w:p>
      </w:tc>
      <w:tc>
        <w:tcPr>
          <w:tcW w:w="278" w:type="pct"/>
          <w:vMerge/>
          <w:vAlign w:val="center"/>
        </w:tcPr>
        <w:p w:rsidR="006B714E" w:rsidRDefault="006B714E" w:rsidP="006B714E">
          <w:pPr>
            <w:spacing w:after="0"/>
            <w:jc w:val="center"/>
            <w:rPr>
              <w:lang w:bidi="ar-EG"/>
            </w:rPr>
          </w:pPr>
        </w:p>
      </w:tc>
      <w:tc>
        <w:tcPr>
          <w:tcW w:w="4076" w:type="pct"/>
          <w:gridSpan w:val="5"/>
          <w:vAlign w:val="center"/>
        </w:tcPr>
        <w:p w:rsidR="006B714E" w:rsidRPr="000F15D5" w:rsidRDefault="006B714E" w:rsidP="006B714E">
          <w:pPr>
            <w:spacing w:after="0"/>
            <w:rPr>
              <w:rFonts w:asciiTheme="majorBidi" w:hAnsiTheme="majorBidi" w:cstheme="majorBidi"/>
              <w:color w:val="000000"/>
              <w:sz w:val="18"/>
              <w:szCs w:val="18"/>
              <w:shd w:val="clear" w:color="auto" w:fill="FFFFFF"/>
            </w:rPr>
          </w:pPr>
          <w:r w:rsidRPr="005C2948">
            <w:rPr>
              <w:rFonts w:asciiTheme="majorBidi" w:hAnsiTheme="majorBidi" w:cstheme="majorBidi"/>
              <w:b/>
              <w:bCs/>
              <w:color w:val="000000" w:themeColor="text1"/>
              <w:sz w:val="18"/>
              <w:szCs w:val="18"/>
              <w:shd w:val="clear" w:color="auto" w:fill="FFFFFF"/>
            </w:rPr>
            <w:t>Maat Training Center</w:t>
          </w:r>
          <w:r>
            <w:rPr>
              <w:rFonts w:asciiTheme="majorBidi" w:hAnsiTheme="majorBidi" w:cstheme="majorBidi"/>
              <w:color w:val="000000"/>
              <w:sz w:val="18"/>
              <w:szCs w:val="18"/>
              <w:shd w:val="clear" w:color="auto" w:fill="FFFFFF"/>
            </w:rPr>
            <w:t xml:space="preserve">: </w:t>
          </w:r>
          <w:r w:rsidRPr="000F15D5">
            <w:rPr>
              <w:rFonts w:asciiTheme="majorBidi" w:hAnsiTheme="majorBidi" w:cstheme="majorBidi"/>
              <w:color w:val="000000"/>
              <w:sz w:val="18"/>
              <w:szCs w:val="18"/>
              <w:shd w:val="clear" w:color="auto" w:fill="FFFFFF"/>
            </w:rPr>
            <w:t xml:space="preserve">380 </w:t>
          </w:r>
          <w:proofErr w:type="spellStart"/>
          <w:r w:rsidRPr="000F15D5">
            <w:rPr>
              <w:rFonts w:asciiTheme="majorBidi" w:hAnsiTheme="majorBidi" w:cstheme="majorBidi"/>
              <w:color w:val="000000"/>
              <w:sz w:val="18"/>
              <w:szCs w:val="18"/>
              <w:shd w:val="clear" w:color="auto" w:fill="FFFFFF"/>
            </w:rPr>
            <w:t>Corniche</w:t>
          </w:r>
          <w:proofErr w:type="spellEnd"/>
          <w:r w:rsidRPr="000F15D5">
            <w:rPr>
              <w:rFonts w:asciiTheme="majorBidi" w:hAnsiTheme="majorBidi" w:cstheme="majorBidi"/>
              <w:color w:val="000000"/>
              <w:sz w:val="18"/>
              <w:szCs w:val="18"/>
              <w:shd w:val="clear" w:color="auto" w:fill="FFFFFF"/>
            </w:rPr>
            <w:t xml:space="preserve"> El Nil St., </w:t>
          </w:r>
          <w:proofErr w:type="spellStart"/>
          <w:r w:rsidRPr="000F15D5">
            <w:rPr>
              <w:rFonts w:asciiTheme="majorBidi" w:hAnsiTheme="majorBidi" w:cstheme="majorBidi"/>
              <w:color w:val="000000"/>
              <w:sz w:val="18"/>
              <w:szCs w:val="18"/>
              <w:shd w:val="clear" w:color="auto" w:fill="FFFFFF"/>
            </w:rPr>
            <w:t>Gawharet</w:t>
          </w:r>
          <w:proofErr w:type="spellEnd"/>
          <w:r w:rsidRPr="000F15D5">
            <w:rPr>
              <w:rFonts w:asciiTheme="majorBidi" w:hAnsiTheme="majorBidi" w:cstheme="majorBidi"/>
              <w:color w:val="000000"/>
              <w:sz w:val="18"/>
              <w:szCs w:val="18"/>
              <w:shd w:val="clear" w:color="auto" w:fill="FFFFFF"/>
            </w:rPr>
            <w:t xml:space="preserve"> El </w:t>
          </w:r>
          <w:proofErr w:type="spellStart"/>
          <w:r w:rsidRPr="000F15D5">
            <w:rPr>
              <w:rFonts w:asciiTheme="majorBidi" w:hAnsiTheme="majorBidi" w:cstheme="majorBidi"/>
              <w:color w:val="000000"/>
              <w:sz w:val="18"/>
              <w:szCs w:val="18"/>
              <w:shd w:val="clear" w:color="auto" w:fill="FFFFFF"/>
            </w:rPr>
            <w:t>Maadi</w:t>
          </w:r>
          <w:proofErr w:type="spellEnd"/>
          <w:r w:rsidRPr="000F15D5">
            <w:rPr>
              <w:rFonts w:asciiTheme="majorBidi" w:hAnsiTheme="majorBidi" w:cstheme="majorBidi"/>
              <w:color w:val="000000"/>
              <w:sz w:val="18"/>
              <w:szCs w:val="18"/>
              <w:shd w:val="clear" w:color="auto" w:fill="FFFFFF"/>
            </w:rPr>
            <w:t xml:space="preserve"> Tower,38th Floor, Tower B, Cairo, Egypt</w:t>
          </w:r>
        </w:p>
      </w:tc>
    </w:tr>
    <w:tr w:rsidR="006B714E" w:rsidTr="0036671B">
      <w:trPr>
        <w:jc w:val="center"/>
      </w:trPr>
      <w:tc>
        <w:tcPr>
          <w:tcW w:w="646" w:type="pct"/>
          <w:vMerge/>
        </w:tcPr>
        <w:p w:rsidR="006B714E" w:rsidRDefault="006B714E" w:rsidP="006B714E">
          <w:pPr>
            <w:spacing w:after="0"/>
            <w:jc w:val="center"/>
            <w:rPr>
              <w:noProof/>
              <w:lang w:bidi="ar-EG"/>
            </w:rPr>
          </w:pPr>
        </w:p>
      </w:tc>
      <w:tc>
        <w:tcPr>
          <w:tcW w:w="278" w:type="pct"/>
          <w:vAlign w:val="center"/>
        </w:tcPr>
        <w:p w:rsidR="006B714E" w:rsidRDefault="006B714E" w:rsidP="006B714E">
          <w:pPr>
            <w:spacing w:after="0"/>
            <w:jc w:val="center"/>
            <w:rPr>
              <w:lang w:bidi="ar-EG"/>
            </w:rPr>
          </w:pPr>
          <w:r>
            <w:rPr>
              <w:noProof/>
            </w:rPr>
            <w:drawing>
              <wp:inline distT="0" distB="0" distL="0" distR="0" wp14:anchorId="54B2A5A2" wp14:editId="64890C72">
                <wp:extent cx="178378" cy="180000"/>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626" w:type="pct"/>
          <w:vAlign w:val="center"/>
        </w:tcPr>
        <w:p w:rsidR="006B714E" w:rsidRPr="000F15D5" w:rsidRDefault="006B714E" w:rsidP="006B714E">
          <w:pPr>
            <w:spacing w:after="0"/>
            <w:rPr>
              <w:sz w:val="18"/>
              <w:szCs w:val="18"/>
              <w:lang w:bidi="ar-EG"/>
            </w:rPr>
          </w:pPr>
          <w:r w:rsidRPr="000F15D5">
            <w:rPr>
              <w:rFonts w:ascii="Tahoma" w:hAnsi="Tahoma" w:cs="Tahoma"/>
              <w:color w:val="000000"/>
              <w:sz w:val="18"/>
              <w:szCs w:val="18"/>
              <w:shd w:val="clear" w:color="auto" w:fill="FFFFFF"/>
            </w:rPr>
            <w:t xml:space="preserve">490 El </w:t>
          </w:r>
          <w:proofErr w:type="spellStart"/>
          <w:r w:rsidRPr="000F15D5">
            <w:rPr>
              <w:rFonts w:ascii="Tahoma" w:hAnsi="Tahoma" w:cs="Tahoma"/>
              <w:color w:val="000000"/>
              <w:sz w:val="18"/>
              <w:szCs w:val="18"/>
              <w:shd w:val="clear" w:color="auto" w:fill="FFFFFF"/>
            </w:rPr>
            <w:t>Maadi</w:t>
          </w:r>
          <w:proofErr w:type="spellEnd"/>
          <w:r w:rsidRPr="000F15D5">
            <w:rPr>
              <w:sz w:val="18"/>
              <w:szCs w:val="18"/>
              <w:lang w:bidi="ar-EG"/>
            </w:rPr>
            <w:t xml:space="preserve"> </w:t>
          </w:r>
        </w:p>
      </w:tc>
      <w:tc>
        <w:tcPr>
          <w:tcW w:w="1152" w:type="pct"/>
          <w:gridSpan w:val="2"/>
          <w:vAlign w:val="center"/>
        </w:tcPr>
        <w:p w:rsidR="006B714E" w:rsidRPr="000F15D5" w:rsidRDefault="006B714E" w:rsidP="006B714E">
          <w:pPr>
            <w:spacing w:after="0"/>
            <w:rPr>
              <w:sz w:val="18"/>
              <w:szCs w:val="18"/>
              <w:lang w:bidi="ar-EG"/>
            </w:rPr>
          </w:pPr>
          <w:r w:rsidRPr="00A20672">
            <w:rPr>
              <w:b/>
              <w:bCs/>
              <w:noProof/>
              <w:sz w:val="18"/>
              <w:szCs w:val="18"/>
              <w:lang w:bidi="ar-EG"/>
            </w:rPr>
            <w:t>WWW</w:t>
          </w:r>
          <w:r>
            <w:rPr>
              <w:b/>
              <w:bCs/>
              <w:noProof/>
              <w:sz w:val="18"/>
              <w:szCs w:val="18"/>
              <w:lang w:bidi="ar-EG"/>
            </w:rPr>
            <w:t>.</w:t>
          </w:r>
          <w:r w:rsidRPr="0086433E">
            <w:rPr>
              <w:rFonts w:ascii="Times New Roman" w:eastAsia="Times New Roman" w:hAnsi="Times New Roman" w:cs="Times New Roman"/>
              <w:color w:val="000000"/>
              <w:sz w:val="20"/>
              <w:szCs w:val="20"/>
            </w:rPr>
            <w:t>maatpeace.org </w:t>
          </w:r>
        </w:p>
      </w:tc>
      <w:tc>
        <w:tcPr>
          <w:tcW w:w="202" w:type="pct"/>
          <w:vAlign w:val="center"/>
        </w:tcPr>
        <w:p w:rsidR="006B714E" w:rsidRPr="00A20672" w:rsidRDefault="006B714E" w:rsidP="006B714E">
          <w:pPr>
            <w:spacing w:after="0"/>
            <w:rPr>
              <w:b/>
              <w:bCs/>
              <w:sz w:val="18"/>
              <w:szCs w:val="18"/>
              <w:lang w:bidi="ar-EG"/>
            </w:rPr>
          </w:pPr>
          <w:r>
            <w:rPr>
              <w:b/>
              <w:bCs/>
              <w:noProof/>
              <w:sz w:val="18"/>
              <w:szCs w:val="18"/>
            </w:rPr>
            <w:drawing>
              <wp:inline distT="0" distB="0" distL="0" distR="0" wp14:anchorId="78AF4E06" wp14:editId="7851297F">
                <wp:extent cx="185455" cy="180000"/>
                <wp:effectExtent l="0" t="0" r="508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455" cy="180000"/>
                        </a:xfrm>
                        <a:prstGeom prst="rect">
                          <a:avLst/>
                        </a:prstGeom>
                      </pic:spPr>
                    </pic:pic>
                  </a:graphicData>
                </a:graphic>
              </wp:inline>
            </w:drawing>
          </w:r>
        </w:p>
      </w:tc>
      <w:tc>
        <w:tcPr>
          <w:tcW w:w="2096" w:type="pct"/>
          <w:vAlign w:val="center"/>
        </w:tcPr>
        <w:p w:rsidR="006B714E" w:rsidRPr="000F15D5" w:rsidRDefault="006B714E" w:rsidP="006B714E">
          <w:pPr>
            <w:spacing w:after="0"/>
            <w:rPr>
              <w:sz w:val="18"/>
              <w:szCs w:val="18"/>
              <w:lang w:bidi="ar-EG"/>
            </w:rPr>
          </w:pPr>
          <w:r w:rsidRPr="0086433E">
            <w:rPr>
              <w:rStyle w:val="apple-style-span"/>
              <w:color w:val="000000"/>
              <w:sz w:val="20"/>
              <w:szCs w:val="20"/>
            </w:rPr>
            <w:t>maat@maatpeace.org</w:t>
          </w:r>
        </w:p>
      </w:tc>
    </w:tr>
    <w:tr w:rsidR="006B714E" w:rsidTr="0036671B">
      <w:trPr>
        <w:jc w:val="center"/>
      </w:trPr>
      <w:tc>
        <w:tcPr>
          <w:tcW w:w="646" w:type="pct"/>
          <w:vMerge/>
        </w:tcPr>
        <w:p w:rsidR="006B714E" w:rsidRDefault="006B714E" w:rsidP="006B714E">
          <w:pPr>
            <w:spacing w:after="0"/>
            <w:jc w:val="center"/>
            <w:rPr>
              <w:noProof/>
              <w:lang w:bidi="ar-EG"/>
            </w:rPr>
          </w:pPr>
        </w:p>
      </w:tc>
      <w:tc>
        <w:tcPr>
          <w:tcW w:w="278" w:type="pct"/>
          <w:vAlign w:val="center"/>
        </w:tcPr>
        <w:p w:rsidR="006B714E" w:rsidRDefault="006B714E" w:rsidP="006B714E">
          <w:pPr>
            <w:spacing w:after="0"/>
            <w:jc w:val="center"/>
            <w:rPr>
              <w:noProof/>
              <w:lang w:bidi="ar-EG"/>
            </w:rPr>
          </w:pPr>
          <w:r>
            <w:rPr>
              <w:noProof/>
            </w:rPr>
            <w:drawing>
              <wp:inline distT="0" distB="0" distL="0" distR="0" wp14:anchorId="5CB1EDF0" wp14:editId="3101F352">
                <wp:extent cx="178378" cy="180000"/>
                <wp:effectExtent l="0" t="0" r="0" b="0"/>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889" w:type="pct"/>
          <w:gridSpan w:val="2"/>
          <w:vAlign w:val="center"/>
        </w:tcPr>
        <w:p w:rsidR="006B714E" w:rsidRPr="00DE0507" w:rsidRDefault="006B714E" w:rsidP="006B714E">
          <w:pPr>
            <w:spacing w:after="0"/>
            <w:rPr>
              <w:rFonts w:ascii="Tahoma" w:hAnsi="Tahoma" w:cs="Tahoma"/>
              <w:color w:val="000000"/>
              <w:sz w:val="18"/>
              <w:szCs w:val="18"/>
              <w:shd w:val="clear" w:color="auto" w:fill="FFFFFF"/>
            </w:rPr>
          </w:pPr>
          <w:r w:rsidRPr="00DE0507">
            <w:rPr>
              <w:rStyle w:val="apple-style-span"/>
              <w:color w:val="000000"/>
              <w:sz w:val="18"/>
              <w:szCs w:val="18"/>
            </w:rPr>
            <w:t xml:space="preserve">00(20) (2) </w:t>
          </w:r>
          <w:r w:rsidRPr="00DE0507">
            <w:rPr>
              <w:rStyle w:val="apple-style-span"/>
              <w:b/>
              <w:bCs/>
              <w:color w:val="000000"/>
              <w:sz w:val="18"/>
              <w:szCs w:val="18"/>
            </w:rPr>
            <w:t>25266026</w:t>
          </w:r>
        </w:p>
      </w:tc>
      <w:tc>
        <w:tcPr>
          <w:tcW w:w="889" w:type="pct"/>
          <w:vAlign w:val="center"/>
        </w:tcPr>
        <w:p w:rsidR="006B714E" w:rsidRPr="00DE0507" w:rsidRDefault="006B714E" w:rsidP="006B714E">
          <w:pPr>
            <w:spacing w:after="0"/>
            <w:rPr>
              <w:noProof/>
              <w:sz w:val="18"/>
              <w:szCs w:val="18"/>
              <w:lang w:bidi="ar-EG"/>
            </w:rPr>
          </w:pPr>
          <w:r w:rsidRPr="00DE0507">
            <w:rPr>
              <w:rStyle w:val="apple-style-span"/>
              <w:color w:val="000000"/>
              <w:sz w:val="18"/>
              <w:szCs w:val="18"/>
            </w:rPr>
            <w:t xml:space="preserve">00(20) (2) </w:t>
          </w:r>
          <w:r w:rsidRPr="00DE0507">
            <w:rPr>
              <w:rStyle w:val="apple-style-span"/>
              <w:b/>
              <w:bCs/>
              <w:color w:val="000000"/>
              <w:sz w:val="18"/>
              <w:szCs w:val="18"/>
            </w:rPr>
            <w:t>25266019</w:t>
          </w:r>
        </w:p>
      </w:tc>
      <w:tc>
        <w:tcPr>
          <w:tcW w:w="202" w:type="pct"/>
          <w:vAlign w:val="center"/>
        </w:tcPr>
        <w:p w:rsidR="006B714E" w:rsidRDefault="006B714E" w:rsidP="006B714E">
          <w:pPr>
            <w:spacing w:after="0"/>
            <w:rPr>
              <w:b/>
              <w:bCs/>
              <w:noProof/>
              <w:sz w:val="18"/>
              <w:szCs w:val="18"/>
              <w:lang w:bidi="ar-EG"/>
            </w:rPr>
          </w:pPr>
          <w:r w:rsidRPr="005C2948">
            <w:rPr>
              <w:rFonts w:asciiTheme="majorBidi" w:hAnsiTheme="majorBidi" w:cstheme="majorBidi"/>
              <w:b/>
              <w:bCs/>
              <w:noProof/>
              <w:color w:val="000000"/>
              <w:sz w:val="18"/>
              <w:szCs w:val="18"/>
              <w:shd w:val="clear" w:color="auto" w:fill="FFFFFF"/>
            </w:rPr>
            <w:drawing>
              <wp:inline distT="0" distB="0" distL="0" distR="0" wp14:anchorId="32E0502E" wp14:editId="6270C1CF">
                <wp:extent cx="100547" cy="180000"/>
                <wp:effectExtent l="0" t="0" r="0"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547" cy="180000"/>
                        </a:xfrm>
                        <a:prstGeom prst="rect">
                          <a:avLst/>
                        </a:prstGeom>
                      </pic:spPr>
                    </pic:pic>
                  </a:graphicData>
                </a:graphic>
              </wp:inline>
            </w:drawing>
          </w:r>
        </w:p>
      </w:tc>
      <w:tc>
        <w:tcPr>
          <w:tcW w:w="2096" w:type="pct"/>
          <w:vAlign w:val="center"/>
        </w:tcPr>
        <w:p w:rsidR="006B714E" w:rsidRPr="0086433E" w:rsidRDefault="006B714E" w:rsidP="006B714E">
          <w:pPr>
            <w:spacing w:after="0"/>
            <w:rPr>
              <w:rStyle w:val="apple-style-span"/>
              <w:color w:val="000000"/>
              <w:sz w:val="20"/>
              <w:szCs w:val="20"/>
            </w:rPr>
          </w:pPr>
          <w:r w:rsidRPr="0086433E">
            <w:rPr>
              <w:rStyle w:val="apple-style-span"/>
              <w:b/>
              <w:bCs/>
              <w:color w:val="000000" w:themeColor="text1"/>
              <w:sz w:val="18"/>
              <w:szCs w:val="18"/>
            </w:rPr>
            <w:t>+201226521170</w:t>
          </w:r>
        </w:p>
      </w:tc>
    </w:tr>
  </w:tbl>
  <w:p w:rsidR="006B714E" w:rsidRPr="00DE0507" w:rsidRDefault="006B714E" w:rsidP="006B714E">
    <w:pPr>
      <w:pStyle w:val="Footer"/>
      <w:rPr>
        <w:sz w:val="2"/>
        <w:szCs w:val="2"/>
      </w:rPr>
    </w:pPr>
    <w:r>
      <w:rPr>
        <w:noProof/>
      </w:rPr>
      <w:drawing>
        <wp:anchor distT="0" distB="0" distL="114300" distR="114300" simplePos="0" relativeHeight="251659264" behindDoc="0" locked="0" layoutInCell="1" allowOverlap="1" wp14:anchorId="1AC81EE2" wp14:editId="0A55812C">
          <wp:simplePos x="0" y="0"/>
          <wp:positionH relativeFrom="page">
            <wp:posOffset>60896</wp:posOffset>
          </wp:positionH>
          <wp:positionV relativeFrom="paragraph">
            <wp:posOffset>-1053465</wp:posOffset>
          </wp:positionV>
          <wp:extent cx="7726693" cy="185531"/>
          <wp:effectExtent l="0" t="0" r="0" b="508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er blank wz water mark final.jpg"/>
                  <pic:cNvPicPr/>
                </pic:nvPicPr>
                <pic:blipFill rotWithShape="1">
                  <a:blip r:embed="rId7" cstate="print">
                    <a:extLst>
                      <a:ext uri="{28A0092B-C50C-407E-A947-70E740481C1C}">
                        <a14:useLocalDpi xmlns:a14="http://schemas.microsoft.com/office/drawing/2010/main" val="0"/>
                      </a:ext>
                    </a:extLst>
                  </a:blip>
                  <a:srcRect l="3247" t="96152" r="-3247" b="2006"/>
                  <a:stretch/>
                </pic:blipFill>
                <pic:spPr bwMode="auto">
                  <a:xfrm>
                    <a:off x="0" y="0"/>
                    <a:ext cx="7726693" cy="185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F0A" w:rsidRDefault="00817F0A" w:rsidP="00CF1B4C">
      <w:pPr>
        <w:spacing w:after="0" w:line="240" w:lineRule="auto"/>
      </w:pPr>
      <w:r>
        <w:separator/>
      </w:r>
    </w:p>
  </w:footnote>
  <w:footnote w:type="continuationSeparator" w:id="0">
    <w:p w:rsidR="00817F0A" w:rsidRDefault="00817F0A" w:rsidP="00CF1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2CC" w:rsidRDefault="00EB74DC">
    <w:r>
      <w:rPr>
        <w:rFonts w:hint="cs"/>
        <w:noProof/>
      </w:rPr>
      <w:drawing>
        <wp:inline distT="0" distB="0" distL="0" distR="0" wp14:anchorId="45A1211B" wp14:editId="517FF53B">
          <wp:extent cx="721378" cy="560173"/>
          <wp:effectExtent l="0" t="0" r="2540" b="0"/>
          <wp:docPr id="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729535" cy="56650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2"/>
    </w:tblGrid>
    <w:tr w:rsidR="006B714E" w:rsidTr="00295CF7">
      <w:tc>
        <w:tcPr>
          <w:tcW w:w="2500" w:type="pct"/>
        </w:tcPr>
        <w:p w:rsidR="006B714E" w:rsidRDefault="006B714E" w:rsidP="006B714E">
          <w:pPr>
            <w:pStyle w:val="Header"/>
          </w:pPr>
          <w:r>
            <w:rPr>
              <w:rFonts w:hint="cs"/>
              <w:noProof/>
            </w:rPr>
            <w:drawing>
              <wp:inline distT="0" distB="0" distL="0" distR="0" wp14:anchorId="1F7E0B21" wp14:editId="417DC5BB">
                <wp:extent cx="1471930" cy="1143000"/>
                <wp:effectExtent l="0" t="0" r="0" b="0"/>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1472065" cy="11431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tcPr>
        <w:p w:rsidR="006B714E" w:rsidRDefault="006B714E" w:rsidP="006B714E">
          <w:pPr>
            <w:pStyle w:val="Header"/>
          </w:pPr>
        </w:p>
      </w:tc>
    </w:tr>
  </w:tbl>
  <w:p w:rsidR="0071497E" w:rsidRPr="00295CF7" w:rsidRDefault="0071497E" w:rsidP="00295CF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84B"/>
    <w:multiLevelType w:val="hybridMultilevel"/>
    <w:tmpl w:val="A4A6FADC"/>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7F43F7D"/>
    <w:multiLevelType w:val="hybridMultilevel"/>
    <w:tmpl w:val="10328E36"/>
    <w:lvl w:ilvl="0" w:tplc="2912FC7C">
      <w:start w:val="1"/>
      <w:numFmt w:val="bullet"/>
      <w:lvlText w:val=""/>
      <w:lvlJc w:val="left"/>
      <w:pPr>
        <w:ind w:left="643" w:hanging="360"/>
      </w:pPr>
      <w:rPr>
        <w:rFonts w:ascii="Symbol" w:hAnsi="Symbol" w:hint="default"/>
        <w:sz w:val="28"/>
        <w:szCs w:val="28"/>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2" w15:restartNumberingAfterBreak="0">
    <w:nsid w:val="0A7D1D64"/>
    <w:multiLevelType w:val="hybridMultilevel"/>
    <w:tmpl w:val="7518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63B29"/>
    <w:multiLevelType w:val="hybridMultilevel"/>
    <w:tmpl w:val="C08A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356B0"/>
    <w:multiLevelType w:val="hybridMultilevel"/>
    <w:tmpl w:val="B854260C"/>
    <w:lvl w:ilvl="0" w:tplc="B5505B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512A9A"/>
    <w:multiLevelType w:val="hybridMultilevel"/>
    <w:tmpl w:val="3F50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F2F30"/>
    <w:multiLevelType w:val="hybridMultilevel"/>
    <w:tmpl w:val="103E9540"/>
    <w:lvl w:ilvl="0" w:tplc="57802B06">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8E6575"/>
    <w:multiLevelType w:val="hybridMultilevel"/>
    <w:tmpl w:val="73D67D5A"/>
    <w:lvl w:ilvl="0" w:tplc="57802B06">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8766E0"/>
    <w:multiLevelType w:val="hybridMultilevel"/>
    <w:tmpl w:val="FE7E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A2126"/>
    <w:multiLevelType w:val="hybridMultilevel"/>
    <w:tmpl w:val="E6002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DA3C81"/>
    <w:multiLevelType w:val="hybridMultilevel"/>
    <w:tmpl w:val="A2E46F36"/>
    <w:lvl w:ilvl="0" w:tplc="57802B06">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EC779F"/>
    <w:multiLevelType w:val="hybridMultilevel"/>
    <w:tmpl w:val="DD74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C0E3F"/>
    <w:multiLevelType w:val="hybridMultilevel"/>
    <w:tmpl w:val="5B729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C91812"/>
    <w:multiLevelType w:val="hybridMultilevel"/>
    <w:tmpl w:val="360E46EC"/>
    <w:lvl w:ilvl="0" w:tplc="57802B06">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867F4C"/>
    <w:multiLevelType w:val="hybridMultilevel"/>
    <w:tmpl w:val="594C0A6C"/>
    <w:lvl w:ilvl="0" w:tplc="2912FC7C">
      <w:start w:val="1"/>
      <w:numFmt w:val="bullet"/>
      <w:lvlText w:val=""/>
      <w:lvlJc w:val="left"/>
      <w:pPr>
        <w:ind w:left="643"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EC71D1"/>
    <w:multiLevelType w:val="hybridMultilevel"/>
    <w:tmpl w:val="6172A9FC"/>
    <w:lvl w:ilvl="0" w:tplc="57802B06">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D37205E"/>
    <w:multiLevelType w:val="hybridMultilevel"/>
    <w:tmpl w:val="42F4E604"/>
    <w:lvl w:ilvl="0" w:tplc="B5505BD0">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7" w15:restartNumberingAfterBreak="0">
    <w:nsid w:val="7DFF6387"/>
    <w:multiLevelType w:val="hybridMultilevel"/>
    <w:tmpl w:val="4A0ACC9C"/>
    <w:lvl w:ilvl="0" w:tplc="1DE6736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2"/>
  </w:num>
  <w:num w:numId="4">
    <w:abstractNumId w:val="9"/>
  </w:num>
  <w:num w:numId="5">
    <w:abstractNumId w:val="11"/>
  </w:num>
  <w:num w:numId="6">
    <w:abstractNumId w:val="1"/>
  </w:num>
  <w:num w:numId="7">
    <w:abstractNumId w:val="14"/>
  </w:num>
  <w:num w:numId="8">
    <w:abstractNumId w:val="7"/>
  </w:num>
  <w:num w:numId="9">
    <w:abstractNumId w:val="6"/>
  </w:num>
  <w:num w:numId="10">
    <w:abstractNumId w:val="13"/>
  </w:num>
  <w:num w:numId="11">
    <w:abstractNumId w:val="10"/>
  </w:num>
  <w:num w:numId="12">
    <w:abstractNumId w:val="15"/>
  </w:num>
  <w:num w:numId="13">
    <w:abstractNumId w:val="16"/>
  </w:num>
  <w:num w:numId="14">
    <w:abstractNumId w:val="0"/>
  </w:num>
  <w:num w:numId="15">
    <w:abstractNumId w:val="8"/>
  </w:num>
  <w:num w:numId="16">
    <w:abstractNumId w:val="4"/>
  </w:num>
  <w:num w:numId="17">
    <w:abstractNumId w:val="3"/>
  </w:num>
  <w:num w:numId="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67"/>
    <w:rsid w:val="0000141C"/>
    <w:rsid w:val="00003699"/>
    <w:rsid w:val="000049A3"/>
    <w:rsid w:val="000051ED"/>
    <w:rsid w:val="0001000A"/>
    <w:rsid w:val="00010FB3"/>
    <w:rsid w:val="0001565A"/>
    <w:rsid w:val="000425CE"/>
    <w:rsid w:val="00045906"/>
    <w:rsid w:val="00050053"/>
    <w:rsid w:val="0005619F"/>
    <w:rsid w:val="00056AE1"/>
    <w:rsid w:val="000627F3"/>
    <w:rsid w:val="00062CE7"/>
    <w:rsid w:val="0006648F"/>
    <w:rsid w:val="00082F6E"/>
    <w:rsid w:val="000859CC"/>
    <w:rsid w:val="00095DC2"/>
    <w:rsid w:val="0009612F"/>
    <w:rsid w:val="00096850"/>
    <w:rsid w:val="000A1FC8"/>
    <w:rsid w:val="000A2E4F"/>
    <w:rsid w:val="000B23A1"/>
    <w:rsid w:val="000B5E39"/>
    <w:rsid w:val="000B5EE8"/>
    <w:rsid w:val="000C5C1B"/>
    <w:rsid w:val="000C5EE4"/>
    <w:rsid w:val="000D22D4"/>
    <w:rsid w:val="000E3E9C"/>
    <w:rsid w:val="000F5340"/>
    <w:rsid w:val="000F7EF5"/>
    <w:rsid w:val="0010006F"/>
    <w:rsid w:val="00103EA2"/>
    <w:rsid w:val="00104948"/>
    <w:rsid w:val="00110276"/>
    <w:rsid w:val="0011296C"/>
    <w:rsid w:val="001134B0"/>
    <w:rsid w:val="001235B5"/>
    <w:rsid w:val="0012514A"/>
    <w:rsid w:val="00130563"/>
    <w:rsid w:val="00133C34"/>
    <w:rsid w:val="00141ED5"/>
    <w:rsid w:val="00145D3F"/>
    <w:rsid w:val="0014605C"/>
    <w:rsid w:val="00175E50"/>
    <w:rsid w:val="00176201"/>
    <w:rsid w:val="00177729"/>
    <w:rsid w:val="001925E1"/>
    <w:rsid w:val="001934B3"/>
    <w:rsid w:val="00194C67"/>
    <w:rsid w:val="001968C2"/>
    <w:rsid w:val="001A232C"/>
    <w:rsid w:val="001B2519"/>
    <w:rsid w:val="001B47D7"/>
    <w:rsid w:val="001B5791"/>
    <w:rsid w:val="001B63FD"/>
    <w:rsid w:val="001C02E9"/>
    <w:rsid w:val="001C3ADD"/>
    <w:rsid w:val="001C445A"/>
    <w:rsid w:val="001C697A"/>
    <w:rsid w:val="001D634A"/>
    <w:rsid w:val="001D7656"/>
    <w:rsid w:val="001E10E5"/>
    <w:rsid w:val="001E75A7"/>
    <w:rsid w:val="002034F8"/>
    <w:rsid w:val="002053D8"/>
    <w:rsid w:val="0022005B"/>
    <w:rsid w:val="00225603"/>
    <w:rsid w:val="00231D34"/>
    <w:rsid w:val="002359EC"/>
    <w:rsid w:val="00237B6A"/>
    <w:rsid w:val="00252BBE"/>
    <w:rsid w:val="00261D7A"/>
    <w:rsid w:val="00262ADC"/>
    <w:rsid w:val="00271CCE"/>
    <w:rsid w:val="00275F9A"/>
    <w:rsid w:val="002760B6"/>
    <w:rsid w:val="00277A70"/>
    <w:rsid w:val="002876BE"/>
    <w:rsid w:val="0029497A"/>
    <w:rsid w:val="00295CF7"/>
    <w:rsid w:val="002A5414"/>
    <w:rsid w:val="002A7887"/>
    <w:rsid w:val="002B220B"/>
    <w:rsid w:val="002B238D"/>
    <w:rsid w:val="002B439B"/>
    <w:rsid w:val="002C2978"/>
    <w:rsid w:val="002C6C1D"/>
    <w:rsid w:val="002E6C2C"/>
    <w:rsid w:val="002F4AFE"/>
    <w:rsid w:val="002F61A6"/>
    <w:rsid w:val="00304783"/>
    <w:rsid w:val="00306525"/>
    <w:rsid w:val="00310535"/>
    <w:rsid w:val="003110A6"/>
    <w:rsid w:val="00311FA2"/>
    <w:rsid w:val="00315EE2"/>
    <w:rsid w:val="00316D76"/>
    <w:rsid w:val="00320754"/>
    <w:rsid w:val="00321877"/>
    <w:rsid w:val="00325AEF"/>
    <w:rsid w:val="003267CC"/>
    <w:rsid w:val="00326D40"/>
    <w:rsid w:val="003279E7"/>
    <w:rsid w:val="00327CBB"/>
    <w:rsid w:val="00335EAC"/>
    <w:rsid w:val="00336B99"/>
    <w:rsid w:val="003455BF"/>
    <w:rsid w:val="00347BF1"/>
    <w:rsid w:val="00347F18"/>
    <w:rsid w:val="00353868"/>
    <w:rsid w:val="00356B6C"/>
    <w:rsid w:val="00356C3D"/>
    <w:rsid w:val="0036481E"/>
    <w:rsid w:val="00377F94"/>
    <w:rsid w:val="00390880"/>
    <w:rsid w:val="003A6B48"/>
    <w:rsid w:val="003B2177"/>
    <w:rsid w:val="003C1343"/>
    <w:rsid w:val="003C2AC2"/>
    <w:rsid w:val="003C7C4E"/>
    <w:rsid w:val="003D1A0F"/>
    <w:rsid w:val="003E0137"/>
    <w:rsid w:val="003E2914"/>
    <w:rsid w:val="003E2C66"/>
    <w:rsid w:val="003E36C5"/>
    <w:rsid w:val="003E4111"/>
    <w:rsid w:val="003E531F"/>
    <w:rsid w:val="003E6B4F"/>
    <w:rsid w:val="003F622E"/>
    <w:rsid w:val="003F7014"/>
    <w:rsid w:val="00404DB2"/>
    <w:rsid w:val="004113EE"/>
    <w:rsid w:val="00423323"/>
    <w:rsid w:val="00424F79"/>
    <w:rsid w:val="00427E18"/>
    <w:rsid w:val="00431C16"/>
    <w:rsid w:val="004349FB"/>
    <w:rsid w:val="00440BD1"/>
    <w:rsid w:val="004464D4"/>
    <w:rsid w:val="00447EED"/>
    <w:rsid w:val="00452F9A"/>
    <w:rsid w:val="00460C7E"/>
    <w:rsid w:val="00486477"/>
    <w:rsid w:val="00486B6B"/>
    <w:rsid w:val="00486DEF"/>
    <w:rsid w:val="00493648"/>
    <w:rsid w:val="004A07FD"/>
    <w:rsid w:val="004A559D"/>
    <w:rsid w:val="004B095B"/>
    <w:rsid w:val="004B0C99"/>
    <w:rsid w:val="004B3F26"/>
    <w:rsid w:val="004C4D49"/>
    <w:rsid w:val="004C6099"/>
    <w:rsid w:val="004D5389"/>
    <w:rsid w:val="004E3BEE"/>
    <w:rsid w:val="004F651A"/>
    <w:rsid w:val="005151FA"/>
    <w:rsid w:val="00516A23"/>
    <w:rsid w:val="00533035"/>
    <w:rsid w:val="00535161"/>
    <w:rsid w:val="00540301"/>
    <w:rsid w:val="0055053D"/>
    <w:rsid w:val="00554BA6"/>
    <w:rsid w:val="00556FF2"/>
    <w:rsid w:val="00557376"/>
    <w:rsid w:val="00567825"/>
    <w:rsid w:val="0058530A"/>
    <w:rsid w:val="00591F60"/>
    <w:rsid w:val="005978CB"/>
    <w:rsid w:val="005A4360"/>
    <w:rsid w:val="005A4845"/>
    <w:rsid w:val="005B4A51"/>
    <w:rsid w:val="005B7082"/>
    <w:rsid w:val="005B77CE"/>
    <w:rsid w:val="005C00AE"/>
    <w:rsid w:val="005C5FE0"/>
    <w:rsid w:val="005C604E"/>
    <w:rsid w:val="005C699E"/>
    <w:rsid w:val="005C7EB2"/>
    <w:rsid w:val="005D5C95"/>
    <w:rsid w:val="005E0A46"/>
    <w:rsid w:val="0060038E"/>
    <w:rsid w:val="00605E5B"/>
    <w:rsid w:val="00621ADD"/>
    <w:rsid w:val="00623346"/>
    <w:rsid w:val="0063146A"/>
    <w:rsid w:val="00631C22"/>
    <w:rsid w:val="0063205B"/>
    <w:rsid w:val="00634EFC"/>
    <w:rsid w:val="00640005"/>
    <w:rsid w:val="00640EC5"/>
    <w:rsid w:val="00641517"/>
    <w:rsid w:val="006442D9"/>
    <w:rsid w:val="00644AE8"/>
    <w:rsid w:val="006531C6"/>
    <w:rsid w:val="006552C3"/>
    <w:rsid w:val="0065788D"/>
    <w:rsid w:val="006600A6"/>
    <w:rsid w:val="006603B2"/>
    <w:rsid w:val="00661990"/>
    <w:rsid w:val="00681790"/>
    <w:rsid w:val="006820EF"/>
    <w:rsid w:val="00691F64"/>
    <w:rsid w:val="00691FC2"/>
    <w:rsid w:val="00693008"/>
    <w:rsid w:val="006930CA"/>
    <w:rsid w:val="006A3909"/>
    <w:rsid w:val="006A4AF4"/>
    <w:rsid w:val="006A7DE0"/>
    <w:rsid w:val="006B714E"/>
    <w:rsid w:val="006C0FF9"/>
    <w:rsid w:val="006C22FE"/>
    <w:rsid w:val="006C6C9E"/>
    <w:rsid w:val="006C758B"/>
    <w:rsid w:val="006D13A0"/>
    <w:rsid w:val="006E56C0"/>
    <w:rsid w:val="006F17D4"/>
    <w:rsid w:val="00705DBB"/>
    <w:rsid w:val="00713491"/>
    <w:rsid w:val="0071497E"/>
    <w:rsid w:val="00716A40"/>
    <w:rsid w:val="00720B8D"/>
    <w:rsid w:val="007214F0"/>
    <w:rsid w:val="00722319"/>
    <w:rsid w:val="00726680"/>
    <w:rsid w:val="00750B80"/>
    <w:rsid w:val="00751DA8"/>
    <w:rsid w:val="00753D7F"/>
    <w:rsid w:val="0075721F"/>
    <w:rsid w:val="007623A8"/>
    <w:rsid w:val="007659D7"/>
    <w:rsid w:val="00767BF5"/>
    <w:rsid w:val="007907E1"/>
    <w:rsid w:val="00790FBB"/>
    <w:rsid w:val="00791830"/>
    <w:rsid w:val="00794563"/>
    <w:rsid w:val="00794FBB"/>
    <w:rsid w:val="007958DC"/>
    <w:rsid w:val="007A4652"/>
    <w:rsid w:val="007A5999"/>
    <w:rsid w:val="007A7D88"/>
    <w:rsid w:val="007C0544"/>
    <w:rsid w:val="007C73F1"/>
    <w:rsid w:val="007D01C3"/>
    <w:rsid w:val="007D1068"/>
    <w:rsid w:val="007D4FCB"/>
    <w:rsid w:val="007E4126"/>
    <w:rsid w:val="007F2D7E"/>
    <w:rsid w:val="007F2F04"/>
    <w:rsid w:val="007F317A"/>
    <w:rsid w:val="007F48EA"/>
    <w:rsid w:val="00801689"/>
    <w:rsid w:val="00813553"/>
    <w:rsid w:val="00815DE8"/>
    <w:rsid w:val="00817F0A"/>
    <w:rsid w:val="00821BB0"/>
    <w:rsid w:val="00822B6D"/>
    <w:rsid w:val="008278C4"/>
    <w:rsid w:val="00830635"/>
    <w:rsid w:val="00844C93"/>
    <w:rsid w:val="0084641A"/>
    <w:rsid w:val="00850F63"/>
    <w:rsid w:val="00851E42"/>
    <w:rsid w:val="00854489"/>
    <w:rsid w:val="00855715"/>
    <w:rsid w:val="00857578"/>
    <w:rsid w:val="00862EB5"/>
    <w:rsid w:val="00865914"/>
    <w:rsid w:val="008716A6"/>
    <w:rsid w:val="00880E91"/>
    <w:rsid w:val="008827E5"/>
    <w:rsid w:val="008837B6"/>
    <w:rsid w:val="00885836"/>
    <w:rsid w:val="00890D62"/>
    <w:rsid w:val="0089355F"/>
    <w:rsid w:val="008938CD"/>
    <w:rsid w:val="00894F66"/>
    <w:rsid w:val="008A0A0C"/>
    <w:rsid w:val="008A2824"/>
    <w:rsid w:val="008A2E8D"/>
    <w:rsid w:val="008B0397"/>
    <w:rsid w:val="008B0792"/>
    <w:rsid w:val="008B432C"/>
    <w:rsid w:val="008C72A8"/>
    <w:rsid w:val="008D4A37"/>
    <w:rsid w:val="008D646E"/>
    <w:rsid w:val="008D65EA"/>
    <w:rsid w:val="008D6EB7"/>
    <w:rsid w:val="008D74E8"/>
    <w:rsid w:val="008E2FF5"/>
    <w:rsid w:val="008E53F7"/>
    <w:rsid w:val="008F0E9E"/>
    <w:rsid w:val="008F57D0"/>
    <w:rsid w:val="008F70BC"/>
    <w:rsid w:val="00900F63"/>
    <w:rsid w:val="00904970"/>
    <w:rsid w:val="009134AE"/>
    <w:rsid w:val="00915541"/>
    <w:rsid w:val="0092118E"/>
    <w:rsid w:val="00933915"/>
    <w:rsid w:val="009348B7"/>
    <w:rsid w:val="009349DA"/>
    <w:rsid w:val="00936E68"/>
    <w:rsid w:val="009416C5"/>
    <w:rsid w:val="009437BF"/>
    <w:rsid w:val="009443C6"/>
    <w:rsid w:val="00947409"/>
    <w:rsid w:val="00947D85"/>
    <w:rsid w:val="00950417"/>
    <w:rsid w:val="00950E85"/>
    <w:rsid w:val="009529FD"/>
    <w:rsid w:val="009570DC"/>
    <w:rsid w:val="00961570"/>
    <w:rsid w:val="00967291"/>
    <w:rsid w:val="0096787C"/>
    <w:rsid w:val="0097218D"/>
    <w:rsid w:val="00974412"/>
    <w:rsid w:val="00977DFD"/>
    <w:rsid w:val="0098318D"/>
    <w:rsid w:val="00983B4A"/>
    <w:rsid w:val="0098629C"/>
    <w:rsid w:val="00987CDB"/>
    <w:rsid w:val="009A31A9"/>
    <w:rsid w:val="009A4F0B"/>
    <w:rsid w:val="009B203A"/>
    <w:rsid w:val="009D1560"/>
    <w:rsid w:val="009D6BD5"/>
    <w:rsid w:val="009E365E"/>
    <w:rsid w:val="009F5094"/>
    <w:rsid w:val="00A00BA7"/>
    <w:rsid w:val="00A014B9"/>
    <w:rsid w:val="00A053AD"/>
    <w:rsid w:val="00A23EC6"/>
    <w:rsid w:val="00A3076E"/>
    <w:rsid w:val="00A329B1"/>
    <w:rsid w:val="00A46990"/>
    <w:rsid w:val="00A532E3"/>
    <w:rsid w:val="00A766D1"/>
    <w:rsid w:val="00A86F65"/>
    <w:rsid w:val="00A8799D"/>
    <w:rsid w:val="00A91B4B"/>
    <w:rsid w:val="00A95B71"/>
    <w:rsid w:val="00A965F9"/>
    <w:rsid w:val="00A9748A"/>
    <w:rsid w:val="00A97709"/>
    <w:rsid w:val="00AA1B05"/>
    <w:rsid w:val="00AA3FCD"/>
    <w:rsid w:val="00AA49D0"/>
    <w:rsid w:val="00AA6908"/>
    <w:rsid w:val="00AA7398"/>
    <w:rsid w:val="00AB48CB"/>
    <w:rsid w:val="00AB50E4"/>
    <w:rsid w:val="00AB65CD"/>
    <w:rsid w:val="00AB677B"/>
    <w:rsid w:val="00AC3439"/>
    <w:rsid w:val="00AC4D5E"/>
    <w:rsid w:val="00AC58ED"/>
    <w:rsid w:val="00AC72CC"/>
    <w:rsid w:val="00AD4C96"/>
    <w:rsid w:val="00AE5CDE"/>
    <w:rsid w:val="00AF277A"/>
    <w:rsid w:val="00AF4E1E"/>
    <w:rsid w:val="00AF559A"/>
    <w:rsid w:val="00B00600"/>
    <w:rsid w:val="00B0136D"/>
    <w:rsid w:val="00B015AF"/>
    <w:rsid w:val="00B039DA"/>
    <w:rsid w:val="00B147F4"/>
    <w:rsid w:val="00B21116"/>
    <w:rsid w:val="00B22D8C"/>
    <w:rsid w:val="00B30C91"/>
    <w:rsid w:val="00B31711"/>
    <w:rsid w:val="00B3374B"/>
    <w:rsid w:val="00B3463D"/>
    <w:rsid w:val="00B41BE5"/>
    <w:rsid w:val="00B4535E"/>
    <w:rsid w:val="00B515D6"/>
    <w:rsid w:val="00B52EC7"/>
    <w:rsid w:val="00B55727"/>
    <w:rsid w:val="00B564EA"/>
    <w:rsid w:val="00B6500E"/>
    <w:rsid w:val="00B675E2"/>
    <w:rsid w:val="00B73E20"/>
    <w:rsid w:val="00B7461E"/>
    <w:rsid w:val="00B80D63"/>
    <w:rsid w:val="00B831E6"/>
    <w:rsid w:val="00B92084"/>
    <w:rsid w:val="00B970B5"/>
    <w:rsid w:val="00BA585A"/>
    <w:rsid w:val="00BB2CA9"/>
    <w:rsid w:val="00BB62BD"/>
    <w:rsid w:val="00BC230B"/>
    <w:rsid w:val="00BC4344"/>
    <w:rsid w:val="00BC6824"/>
    <w:rsid w:val="00BE49DB"/>
    <w:rsid w:val="00BF3FD5"/>
    <w:rsid w:val="00BF7B35"/>
    <w:rsid w:val="00C068AC"/>
    <w:rsid w:val="00C16612"/>
    <w:rsid w:val="00C20FDD"/>
    <w:rsid w:val="00C217FB"/>
    <w:rsid w:val="00C24862"/>
    <w:rsid w:val="00C26282"/>
    <w:rsid w:val="00C27A60"/>
    <w:rsid w:val="00C304E4"/>
    <w:rsid w:val="00C41B4E"/>
    <w:rsid w:val="00C4477C"/>
    <w:rsid w:val="00C45534"/>
    <w:rsid w:val="00C55701"/>
    <w:rsid w:val="00C56603"/>
    <w:rsid w:val="00C61BEC"/>
    <w:rsid w:val="00C73853"/>
    <w:rsid w:val="00C74890"/>
    <w:rsid w:val="00C76D0E"/>
    <w:rsid w:val="00C83345"/>
    <w:rsid w:val="00C84439"/>
    <w:rsid w:val="00C90633"/>
    <w:rsid w:val="00C91E5F"/>
    <w:rsid w:val="00C95822"/>
    <w:rsid w:val="00C95B56"/>
    <w:rsid w:val="00C95F75"/>
    <w:rsid w:val="00CA737E"/>
    <w:rsid w:val="00CB00CE"/>
    <w:rsid w:val="00CB04C1"/>
    <w:rsid w:val="00CC0A25"/>
    <w:rsid w:val="00CC190A"/>
    <w:rsid w:val="00CC663C"/>
    <w:rsid w:val="00CE3953"/>
    <w:rsid w:val="00CE5C56"/>
    <w:rsid w:val="00CE63B4"/>
    <w:rsid w:val="00CE6D95"/>
    <w:rsid w:val="00CF1B4C"/>
    <w:rsid w:val="00D0277D"/>
    <w:rsid w:val="00D029E9"/>
    <w:rsid w:val="00D07987"/>
    <w:rsid w:val="00D14AE4"/>
    <w:rsid w:val="00D155EF"/>
    <w:rsid w:val="00D16DE2"/>
    <w:rsid w:val="00D17246"/>
    <w:rsid w:val="00D21BF7"/>
    <w:rsid w:val="00D266CA"/>
    <w:rsid w:val="00D270BD"/>
    <w:rsid w:val="00D30C6C"/>
    <w:rsid w:val="00D37AD6"/>
    <w:rsid w:val="00D43874"/>
    <w:rsid w:val="00D475FD"/>
    <w:rsid w:val="00D52E28"/>
    <w:rsid w:val="00D52FF4"/>
    <w:rsid w:val="00D55CBF"/>
    <w:rsid w:val="00D6063D"/>
    <w:rsid w:val="00D74E9F"/>
    <w:rsid w:val="00D84747"/>
    <w:rsid w:val="00D85ADB"/>
    <w:rsid w:val="00D876C9"/>
    <w:rsid w:val="00D965E5"/>
    <w:rsid w:val="00DB4180"/>
    <w:rsid w:val="00DC0FB1"/>
    <w:rsid w:val="00DC26BC"/>
    <w:rsid w:val="00DC2968"/>
    <w:rsid w:val="00DC4740"/>
    <w:rsid w:val="00DE0507"/>
    <w:rsid w:val="00DE6253"/>
    <w:rsid w:val="00DF2E7F"/>
    <w:rsid w:val="00DF643E"/>
    <w:rsid w:val="00E00261"/>
    <w:rsid w:val="00E06B92"/>
    <w:rsid w:val="00E11156"/>
    <w:rsid w:val="00E15009"/>
    <w:rsid w:val="00E16D20"/>
    <w:rsid w:val="00E24EE3"/>
    <w:rsid w:val="00E3417D"/>
    <w:rsid w:val="00E3469F"/>
    <w:rsid w:val="00E34797"/>
    <w:rsid w:val="00E40F2A"/>
    <w:rsid w:val="00E41E71"/>
    <w:rsid w:val="00E454F0"/>
    <w:rsid w:val="00E523EE"/>
    <w:rsid w:val="00E53337"/>
    <w:rsid w:val="00E559E5"/>
    <w:rsid w:val="00E62928"/>
    <w:rsid w:val="00E65964"/>
    <w:rsid w:val="00E8017E"/>
    <w:rsid w:val="00E8171D"/>
    <w:rsid w:val="00E83FC2"/>
    <w:rsid w:val="00E861EA"/>
    <w:rsid w:val="00E87E10"/>
    <w:rsid w:val="00E93B72"/>
    <w:rsid w:val="00E96329"/>
    <w:rsid w:val="00E97CC4"/>
    <w:rsid w:val="00EB1383"/>
    <w:rsid w:val="00EB4D86"/>
    <w:rsid w:val="00EB57DD"/>
    <w:rsid w:val="00EB74DC"/>
    <w:rsid w:val="00EC6BD1"/>
    <w:rsid w:val="00ED6A59"/>
    <w:rsid w:val="00ED739E"/>
    <w:rsid w:val="00EE0298"/>
    <w:rsid w:val="00EE5356"/>
    <w:rsid w:val="00EE5967"/>
    <w:rsid w:val="00EF766B"/>
    <w:rsid w:val="00F07A71"/>
    <w:rsid w:val="00F149AA"/>
    <w:rsid w:val="00F216B6"/>
    <w:rsid w:val="00F32959"/>
    <w:rsid w:val="00F3389D"/>
    <w:rsid w:val="00F37646"/>
    <w:rsid w:val="00F4019A"/>
    <w:rsid w:val="00F40ABD"/>
    <w:rsid w:val="00F421AB"/>
    <w:rsid w:val="00F453D8"/>
    <w:rsid w:val="00F500F3"/>
    <w:rsid w:val="00F577A9"/>
    <w:rsid w:val="00F61A0B"/>
    <w:rsid w:val="00F6355C"/>
    <w:rsid w:val="00F6608F"/>
    <w:rsid w:val="00F83705"/>
    <w:rsid w:val="00F86220"/>
    <w:rsid w:val="00F914BF"/>
    <w:rsid w:val="00F94A5C"/>
    <w:rsid w:val="00FA170D"/>
    <w:rsid w:val="00FA5435"/>
    <w:rsid w:val="00FB4EE4"/>
    <w:rsid w:val="00FC572B"/>
    <w:rsid w:val="00FC5962"/>
    <w:rsid w:val="00FE3675"/>
    <w:rsid w:val="00FE5F5D"/>
    <w:rsid w:val="00FF3FE5"/>
    <w:rsid w:val="00FF7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8A615"/>
  <w15:docId w15:val="{03DF6C40-ACED-4B48-8054-04340065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B4C"/>
    <w:pPr>
      <w:spacing w:after="160" w:line="259" w:lineRule="auto"/>
    </w:pPr>
  </w:style>
  <w:style w:type="paragraph" w:styleId="Heading1">
    <w:name w:val="heading 1"/>
    <w:basedOn w:val="Normal"/>
    <w:next w:val="Normal"/>
    <w:link w:val="Heading1Char"/>
    <w:uiPriority w:val="9"/>
    <w:qFormat/>
    <w:rsid w:val="00CF1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4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F1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B4C"/>
  </w:style>
  <w:style w:type="paragraph" w:styleId="Footer">
    <w:name w:val="footer"/>
    <w:basedOn w:val="Normal"/>
    <w:link w:val="FooterChar"/>
    <w:uiPriority w:val="99"/>
    <w:unhideWhenUsed/>
    <w:rsid w:val="00CF1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B4C"/>
  </w:style>
  <w:style w:type="paragraph" w:styleId="BalloonText">
    <w:name w:val="Balloon Text"/>
    <w:basedOn w:val="Normal"/>
    <w:link w:val="BalloonTextChar"/>
    <w:uiPriority w:val="99"/>
    <w:semiHidden/>
    <w:unhideWhenUsed/>
    <w:rsid w:val="00CF1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B4C"/>
    <w:rPr>
      <w:rFonts w:ascii="Tahoma" w:hAnsi="Tahoma" w:cs="Tahoma"/>
      <w:sz w:val="16"/>
      <w:szCs w:val="16"/>
    </w:rPr>
  </w:style>
  <w:style w:type="paragraph" w:styleId="NormalWeb">
    <w:name w:val="Normal (Web)"/>
    <w:basedOn w:val="Normal"/>
    <w:uiPriority w:val="99"/>
    <w:unhideWhenUsed/>
    <w:rsid w:val="00CF1B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F1B4C"/>
    <w:pPr>
      <w:ind w:left="720"/>
      <w:contextualSpacing/>
    </w:pPr>
  </w:style>
  <w:style w:type="character" w:customStyle="1" w:styleId="ListParagraphChar">
    <w:name w:val="List Paragraph Char"/>
    <w:link w:val="ListParagraph"/>
    <w:uiPriority w:val="34"/>
    <w:rsid w:val="00CF1B4C"/>
  </w:style>
  <w:style w:type="character" w:styleId="FootnoteReference">
    <w:name w:val="footnote reference"/>
    <w:aliases w:val="4_G,4_GA"/>
    <w:basedOn w:val="DefaultParagraphFont"/>
    <w:uiPriority w:val="99"/>
    <w:unhideWhenUsed/>
    <w:qFormat/>
    <w:rsid w:val="00CF1B4C"/>
    <w:rPr>
      <w:vertAlign w:val="superscript"/>
    </w:rPr>
  </w:style>
  <w:style w:type="paragraph" w:styleId="FootnoteText">
    <w:name w:val="footnote text"/>
    <w:aliases w:val="5_G"/>
    <w:basedOn w:val="Normal"/>
    <w:link w:val="FootnoteTextChar"/>
    <w:uiPriority w:val="99"/>
    <w:unhideWhenUsed/>
    <w:qFormat/>
    <w:rsid w:val="00CF1B4C"/>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CF1B4C"/>
    <w:rPr>
      <w:sz w:val="20"/>
      <w:szCs w:val="20"/>
    </w:rPr>
  </w:style>
  <w:style w:type="character" w:styleId="Hyperlink">
    <w:name w:val="Hyperlink"/>
    <w:basedOn w:val="DefaultParagraphFont"/>
    <w:uiPriority w:val="99"/>
    <w:unhideWhenUsed/>
    <w:rsid w:val="00CF1B4C"/>
    <w:rPr>
      <w:color w:val="0000FF" w:themeColor="hyperlink"/>
      <w:u w:val="single"/>
    </w:rPr>
  </w:style>
  <w:style w:type="character" w:styleId="Strong">
    <w:name w:val="Strong"/>
    <w:basedOn w:val="DefaultParagraphFont"/>
    <w:uiPriority w:val="22"/>
    <w:qFormat/>
    <w:rsid w:val="00CF1B4C"/>
    <w:rPr>
      <w:b/>
      <w:bCs/>
    </w:rPr>
  </w:style>
  <w:style w:type="paragraph" w:customStyle="1" w:styleId="ar">
    <w:name w:val="ar"/>
    <w:basedOn w:val="Normal"/>
    <w:rsid w:val="00CF1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eTxtGA">
    <w:name w:val="_ Single Txt_GA"/>
    <w:basedOn w:val="Normal"/>
    <w:rsid w:val="00CF1B4C"/>
    <w:pPr>
      <w:tabs>
        <w:tab w:val="left" w:pos="1928"/>
        <w:tab w:val="left" w:pos="2608"/>
        <w:tab w:val="left" w:pos="3289"/>
        <w:tab w:val="left" w:pos="3969"/>
        <w:tab w:val="left" w:pos="4649"/>
        <w:tab w:val="left" w:pos="5330"/>
      </w:tabs>
      <w:suppressAutoHyphens/>
      <w:bidi/>
      <w:spacing w:after="120" w:line="380" w:lineRule="exact"/>
      <w:ind w:left="1247" w:right="1247"/>
      <w:jc w:val="both"/>
    </w:pPr>
    <w:rPr>
      <w:rFonts w:ascii="Times New Roman" w:eastAsia="Times New Roman" w:hAnsi="Times New Roman" w:cs="Traditional Arabic"/>
      <w:sz w:val="20"/>
      <w:szCs w:val="30"/>
      <w:lang w:eastAsia="ar-SA"/>
    </w:rPr>
  </w:style>
  <w:style w:type="table" w:customStyle="1" w:styleId="GridTable4-Accent11">
    <w:name w:val="Grid Table 4 - Accent 11"/>
    <w:basedOn w:val="TableNormal"/>
    <w:uiPriority w:val="49"/>
    <w:rsid w:val="00CF1B4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TableNormal"/>
    <w:uiPriority w:val="40"/>
    <w:rsid w:val="00CF1B4C"/>
    <w:pPr>
      <w:spacing w:after="0" w:line="240" w:lineRule="auto"/>
    </w:pPr>
    <w:rPr>
      <w:color w:val="3071C3" w:themeColor="text2" w:themeTint="BF"/>
      <w:sz w:val="24"/>
      <w:szCs w:val="24"/>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Grid-Accent5">
    <w:name w:val="Light Grid Accent 5"/>
    <w:basedOn w:val="TableNormal"/>
    <w:uiPriority w:val="62"/>
    <w:rsid w:val="00CF1B4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lblnewstitle">
    <w:name w:val="lblnewstitle"/>
    <w:basedOn w:val="DefaultParagraphFont"/>
    <w:rsid w:val="00CF1B4C"/>
  </w:style>
  <w:style w:type="paragraph" w:customStyle="1" w:styleId="bbc-1sy09mr">
    <w:name w:val="bbc-1sy09mr"/>
    <w:basedOn w:val="Normal"/>
    <w:rsid w:val="00CF1B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1B4C"/>
    <w:rPr>
      <w:i/>
      <w:iCs/>
    </w:rPr>
  </w:style>
  <w:style w:type="character" w:customStyle="1" w:styleId="1">
    <w:name w:val="إشارة لم يتم حلها1"/>
    <w:basedOn w:val="DefaultParagraphFont"/>
    <w:uiPriority w:val="99"/>
    <w:semiHidden/>
    <w:unhideWhenUsed/>
    <w:rsid w:val="00CF1B4C"/>
    <w:rPr>
      <w:color w:val="605E5C"/>
      <w:shd w:val="clear" w:color="auto" w:fill="E1DFDD"/>
    </w:rPr>
  </w:style>
  <w:style w:type="paragraph" w:customStyle="1" w:styleId="t-contentchapo">
    <w:name w:val="t-content__chapo"/>
    <w:basedOn w:val="Normal"/>
    <w:rsid w:val="00CF1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block-adlabeltext">
    <w:name w:val="m-block-ad__label__text"/>
    <w:basedOn w:val="DefaultParagraphFont"/>
    <w:rsid w:val="00CF1B4C"/>
  </w:style>
  <w:style w:type="character" w:customStyle="1" w:styleId="jlqj4b">
    <w:name w:val="jlqj4b"/>
    <w:basedOn w:val="DefaultParagraphFont"/>
    <w:rsid w:val="00CF1B4C"/>
  </w:style>
  <w:style w:type="table" w:styleId="TableGrid">
    <w:name w:val="Table Grid"/>
    <w:basedOn w:val="TableNormal"/>
    <w:uiPriority w:val="39"/>
    <w:rsid w:val="00CF1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CF1B4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1">
    <w:name w:val="Grid Table 1 Light1"/>
    <w:basedOn w:val="TableNormal"/>
    <w:uiPriority w:val="46"/>
    <w:rsid w:val="00CF1B4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21">
    <w:name w:val="List Table 21"/>
    <w:basedOn w:val="TableNormal"/>
    <w:uiPriority w:val="47"/>
    <w:rsid w:val="00CF1B4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F1B4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CF1B4C"/>
    <w:rPr>
      <w:color w:val="605E5C"/>
      <w:shd w:val="clear" w:color="auto" w:fill="E1DFDD"/>
    </w:rPr>
  </w:style>
  <w:style w:type="character" w:styleId="FollowedHyperlink">
    <w:name w:val="FollowedHyperlink"/>
    <w:basedOn w:val="DefaultParagraphFont"/>
    <w:uiPriority w:val="99"/>
    <w:semiHidden/>
    <w:unhideWhenUsed/>
    <w:rsid w:val="00CF1B4C"/>
    <w:rPr>
      <w:color w:val="800080" w:themeColor="followedHyperlink"/>
      <w:u w:val="single"/>
    </w:rPr>
  </w:style>
  <w:style w:type="paragraph" w:styleId="Title">
    <w:name w:val="Title"/>
    <w:basedOn w:val="Normal"/>
    <w:link w:val="TitleChar"/>
    <w:uiPriority w:val="1"/>
    <w:qFormat/>
    <w:rsid w:val="00CF1B4C"/>
    <w:pPr>
      <w:pBdr>
        <w:bottom w:val="single" w:sz="48" w:space="22" w:color="365F91" w:themeColor="accent1" w:themeShade="BF"/>
      </w:pBdr>
      <w:spacing w:after="400" w:line="240" w:lineRule="auto"/>
      <w:contextualSpacing/>
    </w:pPr>
    <w:rPr>
      <w:rFonts w:asciiTheme="majorHAnsi" w:eastAsiaTheme="majorEastAsia" w:hAnsiTheme="majorHAnsi" w:cstheme="majorBidi"/>
      <w:b/>
      <w:color w:val="265898" w:themeColor="text2" w:themeTint="E6"/>
      <w:kern w:val="28"/>
      <w:sz w:val="60"/>
      <w:szCs w:val="56"/>
      <w:lang w:eastAsia="ja-JP"/>
    </w:rPr>
  </w:style>
  <w:style w:type="character" w:customStyle="1" w:styleId="TitleChar">
    <w:name w:val="Title Char"/>
    <w:basedOn w:val="DefaultParagraphFont"/>
    <w:link w:val="Title"/>
    <w:uiPriority w:val="1"/>
    <w:rsid w:val="00CF1B4C"/>
    <w:rPr>
      <w:rFonts w:asciiTheme="majorHAnsi" w:eastAsiaTheme="majorEastAsia" w:hAnsiTheme="majorHAnsi" w:cstheme="majorBidi"/>
      <w:b/>
      <w:color w:val="265898" w:themeColor="text2" w:themeTint="E6"/>
      <w:kern w:val="28"/>
      <w:sz w:val="60"/>
      <w:szCs w:val="56"/>
      <w:lang w:eastAsia="ja-JP"/>
    </w:rPr>
  </w:style>
  <w:style w:type="paragraph" w:styleId="NoSpacing">
    <w:name w:val="No Spacing"/>
    <w:link w:val="NoSpacingChar"/>
    <w:uiPriority w:val="1"/>
    <w:qFormat/>
    <w:rsid w:val="00CF1B4C"/>
    <w:pPr>
      <w:bidi/>
      <w:spacing w:after="0" w:line="240" w:lineRule="auto"/>
    </w:pPr>
    <w:rPr>
      <w:rFonts w:eastAsiaTheme="minorEastAsia"/>
    </w:rPr>
  </w:style>
  <w:style w:type="character" w:customStyle="1" w:styleId="NoSpacingChar">
    <w:name w:val="No Spacing Char"/>
    <w:basedOn w:val="DefaultParagraphFont"/>
    <w:link w:val="NoSpacing"/>
    <w:uiPriority w:val="1"/>
    <w:rsid w:val="00CF1B4C"/>
    <w:rPr>
      <w:rFonts w:eastAsiaTheme="minorEastAsia"/>
    </w:rPr>
  </w:style>
  <w:style w:type="paragraph" w:styleId="TOCHeading">
    <w:name w:val="TOC Heading"/>
    <w:basedOn w:val="Heading1"/>
    <w:next w:val="Normal"/>
    <w:uiPriority w:val="39"/>
    <w:unhideWhenUsed/>
    <w:qFormat/>
    <w:rsid w:val="00CF1B4C"/>
    <w:pPr>
      <w:spacing w:before="320" w:line="240" w:lineRule="auto"/>
      <w:outlineLvl w:val="9"/>
    </w:pPr>
    <w:rPr>
      <w:lang w:eastAsia="ja-JP"/>
    </w:rPr>
  </w:style>
  <w:style w:type="paragraph" w:styleId="TOC2">
    <w:name w:val="toc 2"/>
    <w:basedOn w:val="Normal"/>
    <w:next w:val="Normal"/>
    <w:autoRedefine/>
    <w:uiPriority w:val="39"/>
    <w:unhideWhenUsed/>
    <w:rsid w:val="006A7DE0"/>
    <w:pPr>
      <w:tabs>
        <w:tab w:val="right" w:leader="dot" w:pos="9350"/>
      </w:tabs>
      <w:bidi/>
      <w:spacing w:after="100" w:line="264" w:lineRule="auto"/>
      <w:ind w:left="200"/>
    </w:pPr>
    <w:rPr>
      <w:rFonts w:eastAsiaTheme="minorEastAsia"/>
      <w:sz w:val="20"/>
      <w:szCs w:val="20"/>
      <w:lang w:eastAsia="ja-JP"/>
    </w:rPr>
  </w:style>
  <w:style w:type="paragraph" w:styleId="TOC1">
    <w:name w:val="toc 1"/>
    <w:basedOn w:val="Normal"/>
    <w:next w:val="Normal"/>
    <w:autoRedefine/>
    <w:uiPriority w:val="39"/>
    <w:unhideWhenUsed/>
    <w:rsid w:val="006A7DE0"/>
    <w:pPr>
      <w:tabs>
        <w:tab w:val="right" w:leader="dot" w:pos="9350"/>
      </w:tabs>
      <w:bidi/>
      <w:spacing w:after="100" w:line="276" w:lineRule="auto"/>
    </w:pPr>
    <w:rPr>
      <w:rFonts w:ascii="Traditional Arabic" w:eastAsiaTheme="minorEastAsia" w:hAnsi="Traditional Arabic" w:cs="Traditional Arabic"/>
      <w:noProof/>
      <w:sz w:val="24"/>
      <w:szCs w:val="24"/>
      <w:lang w:eastAsia="ja-JP"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UnresolvedMention">
    <w:name w:val="Unresolved Mention"/>
    <w:basedOn w:val="DefaultParagraphFont"/>
    <w:uiPriority w:val="99"/>
    <w:semiHidden/>
    <w:unhideWhenUsed/>
    <w:rsid w:val="00720B8D"/>
    <w:rPr>
      <w:color w:val="605E5C"/>
      <w:shd w:val="clear" w:color="auto" w:fill="E1DFDD"/>
    </w:rPr>
  </w:style>
  <w:style w:type="paragraph" w:customStyle="1" w:styleId="selectionshareable">
    <w:name w:val="selectionshareable"/>
    <w:basedOn w:val="Normal"/>
    <w:rsid w:val="006F17D4"/>
    <w:pPr>
      <w:spacing w:before="100" w:beforeAutospacing="1" w:after="100" w:afterAutospacing="1" w:line="240" w:lineRule="auto"/>
    </w:pPr>
    <w:rPr>
      <w:rFonts w:ascii="Times New Roman" w:eastAsia="Times New Roman" w:hAnsi="Times New Roman" w:cs="Times New Roman"/>
      <w:sz w:val="24"/>
      <w:szCs w:val="24"/>
    </w:rPr>
  </w:style>
  <w:style w:type="table" w:styleId="PlainTable1">
    <w:name w:val="Plain Table 1"/>
    <w:basedOn w:val="TableNormal"/>
    <w:uiPriority w:val="41"/>
    <w:rsid w:val="001C69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6A7DE0"/>
    <w:pPr>
      <w:tabs>
        <w:tab w:val="right" w:leader="dot" w:pos="9350"/>
      </w:tabs>
      <w:bidi/>
      <w:spacing w:after="100"/>
    </w:pPr>
    <w:rPr>
      <w:rFonts w:ascii="Traditional Arabic" w:hAnsi="Traditional Arabic" w:cs="Traditional Arabic"/>
      <w:b/>
      <w:bCs/>
      <w:noProof/>
      <w:sz w:val="28"/>
      <w:szCs w:val="28"/>
      <w:lang w:bidi="ar-EG"/>
    </w:rPr>
  </w:style>
  <w:style w:type="table" w:styleId="GridTable5Dark-Accent4">
    <w:name w:val="Grid Table 5 Dark Accent 4"/>
    <w:basedOn w:val="TableNormal"/>
    <w:uiPriority w:val="50"/>
    <w:rsid w:val="007F31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apple-style-span">
    <w:name w:val="apple-style-span"/>
    <w:basedOn w:val="DefaultParagraphFont"/>
    <w:rsid w:val="002A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66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aat%20Templates\templates_Reports\Ma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F026D-C832-4852-9DE5-EF6D8ABD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Maat</Template>
  <TotalTime>4</TotalTime>
  <Pages>2</Pages>
  <Words>392</Words>
  <Characters>2235</Characters>
  <Application>Microsoft Office Word</Application>
  <DocSecurity>0</DocSecurity>
  <Lines>18</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مؤشر الإرهاب في المنطقة العربية</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1</cp:revision>
  <dcterms:created xsi:type="dcterms:W3CDTF">2025-02-25T19:29:00Z</dcterms:created>
  <dcterms:modified xsi:type="dcterms:W3CDTF">2025-02-25T19:33:00Z</dcterms:modified>
  <cp:category/>
</cp:coreProperties>
</file>